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b w:val="0"/>
          <w:bCs/>
          <w:color w:val="000000"/>
          <w:sz w:val="44"/>
          <w:szCs w:val="44"/>
          <w:highlight w:val="none"/>
          <w:lang w:eastAsia="zh-CN"/>
        </w:rPr>
      </w:pPr>
      <w:r>
        <w:rPr>
          <w:rFonts w:hint="eastAsia" w:ascii="黑体" w:hAnsi="黑体" w:eastAsia="黑体" w:cs="黑体"/>
          <w:kern w:val="2"/>
          <w:sz w:val="28"/>
          <w:szCs w:val="28"/>
          <w:lang w:val="en-US" w:eastAsia="zh-CN" w:bidi="ar"/>
        </w:rPr>
        <w:t>区八届人大常委会第三次会议文件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lang w:eastAsia="zh-CN"/>
        </w:rPr>
      </w:pPr>
      <w:r>
        <w:rPr>
          <w:rFonts w:hint="eastAsia" w:ascii="方正小标宋简体" w:hAnsi="方正小标宋简体" w:eastAsia="方正小标宋简体" w:cs="方正小标宋简体"/>
          <w:b w:val="0"/>
          <w:bCs/>
          <w:color w:val="000000"/>
          <w:sz w:val="44"/>
          <w:szCs w:val="44"/>
          <w:highlight w:val="none"/>
          <w:lang w:eastAsia="zh-CN"/>
        </w:rPr>
        <w:t>深圳市</w:t>
      </w:r>
      <w:r>
        <w:rPr>
          <w:rFonts w:hint="eastAsia" w:ascii="方正小标宋简体" w:hAnsi="方正小标宋简体" w:eastAsia="方正小标宋简体" w:cs="方正小标宋简体"/>
          <w:b w:val="0"/>
          <w:bCs/>
          <w:color w:val="000000"/>
          <w:sz w:val="44"/>
          <w:szCs w:val="44"/>
          <w:highlight w:val="none"/>
        </w:rPr>
        <w:t>罗湖区人民检察院</w:t>
      </w:r>
      <w:r>
        <w:rPr>
          <w:rFonts w:hint="eastAsia" w:ascii="方正小标宋简体" w:hAnsi="方正小标宋简体" w:eastAsia="方正小标宋简体" w:cs="方正小标宋简体"/>
          <w:b w:val="0"/>
          <w:bCs/>
          <w:color w:val="000000"/>
          <w:sz w:val="44"/>
          <w:szCs w:val="44"/>
          <w:highlight w:val="none"/>
          <w:lang w:eastAsia="zh-CN"/>
        </w:rPr>
        <w:t>关于适用认罪认罚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eastAsia="zh-CN"/>
        </w:rPr>
        <w:t>从宽制度实施情况工作</w:t>
      </w:r>
      <w:r>
        <w:rPr>
          <w:rFonts w:hint="eastAsia" w:ascii="方正小标宋简体" w:hAnsi="方正小标宋简体" w:eastAsia="方正小标宋简体" w:cs="方正小标宋简体"/>
          <w:b w:val="0"/>
          <w:bCs/>
          <w:color w:val="000000"/>
          <w:sz w:val="44"/>
          <w:szCs w:val="44"/>
          <w:highlight w:val="none"/>
        </w:rPr>
        <w:t>报告</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color w:val="00000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宋体" w:eastAsia="楷体_GB2312"/>
          <w:color w:val="000000"/>
          <w:sz w:val="32"/>
          <w:szCs w:val="32"/>
          <w:lang w:val="en-US" w:eastAsia="zh-CN"/>
        </w:rPr>
      </w:pPr>
      <w:r>
        <w:rPr>
          <w:rFonts w:hint="eastAsia" w:ascii="楷体_GB2312" w:hAnsi="楷体" w:eastAsia="楷体_GB2312"/>
          <w:b/>
          <w:color w:val="000000"/>
          <w:sz w:val="32"/>
          <w:szCs w:val="32"/>
        </w:rPr>
        <w:t>——</w:t>
      </w:r>
      <w:r>
        <w:rPr>
          <w:rFonts w:hint="eastAsia" w:ascii="楷体_GB2312" w:hAnsi="宋体" w:eastAsia="楷体_GB2312"/>
          <w:color w:val="000000"/>
          <w:sz w:val="32"/>
          <w:szCs w:val="32"/>
        </w:rPr>
        <w:t>202</w:t>
      </w:r>
      <w:r>
        <w:rPr>
          <w:rFonts w:hint="eastAsia" w:ascii="楷体_GB2312" w:hAnsi="宋体" w:eastAsia="楷体_GB2312"/>
          <w:color w:val="000000"/>
          <w:sz w:val="32"/>
          <w:szCs w:val="32"/>
          <w:lang w:val="en-US" w:eastAsia="zh-CN"/>
        </w:rPr>
        <w:t>1</w:t>
      </w:r>
      <w:r>
        <w:rPr>
          <w:rFonts w:hint="eastAsia" w:ascii="楷体_GB2312" w:hAnsi="宋体" w:eastAsia="楷体_GB2312"/>
          <w:color w:val="000000"/>
          <w:sz w:val="32"/>
          <w:szCs w:val="32"/>
        </w:rPr>
        <w:t>年</w:t>
      </w:r>
      <w:r>
        <w:rPr>
          <w:rFonts w:hint="eastAsia" w:ascii="楷体_GB2312" w:hAnsi="宋体" w:eastAsia="楷体_GB2312"/>
          <w:color w:val="000000"/>
          <w:sz w:val="32"/>
          <w:szCs w:val="32"/>
          <w:lang w:val="en-US" w:eastAsia="zh-CN"/>
        </w:rPr>
        <w:t>12</w:t>
      </w:r>
      <w:r>
        <w:rPr>
          <w:rFonts w:hint="eastAsia" w:ascii="楷体_GB2312" w:hAnsi="宋体" w:eastAsia="楷体_GB2312"/>
          <w:color w:val="000000"/>
          <w:sz w:val="32"/>
          <w:szCs w:val="32"/>
        </w:rPr>
        <w:t>月</w:t>
      </w:r>
      <w:r>
        <w:rPr>
          <w:rFonts w:hint="eastAsia" w:ascii="楷体_GB2312" w:hAnsi="宋体" w:eastAsia="楷体_GB2312"/>
          <w:color w:val="000000"/>
          <w:sz w:val="32"/>
          <w:szCs w:val="32"/>
          <w:lang w:val="en-US" w:eastAsia="zh-CN"/>
        </w:rPr>
        <w:t>21</w:t>
      </w:r>
      <w:r>
        <w:rPr>
          <w:rFonts w:hint="eastAsia" w:ascii="楷体_GB2312" w:hAnsi="宋体" w:eastAsia="楷体_GB2312"/>
          <w:color w:val="000000"/>
          <w:sz w:val="32"/>
          <w:szCs w:val="32"/>
        </w:rPr>
        <w:t>日在</w:t>
      </w:r>
      <w:r>
        <w:rPr>
          <w:rFonts w:hint="eastAsia" w:ascii="楷体_GB2312" w:hAnsi="宋体" w:eastAsia="楷体_GB2312"/>
          <w:color w:val="000000"/>
          <w:sz w:val="32"/>
          <w:szCs w:val="32"/>
          <w:lang w:val="en-US" w:eastAsia="zh-CN"/>
        </w:rPr>
        <w:t>深圳市</w:t>
      </w:r>
      <w:r>
        <w:rPr>
          <w:rFonts w:hint="eastAsia" w:ascii="楷体_GB2312" w:hAnsi="宋体" w:eastAsia="楷体_GB2312"/>
          <w:color w:val="000000"/>
          <w:sz w:val="32"/>
          <w:szCs w:val="32"/>
        </w:rPr>
        <w:t>罗湖区</w:t>
      </w:r>
      <w:r>
        <w:rPr>
          <w:rFonts w:hint="eastAsia" w:ascii="楷体_GB2312" w:hAnsi="宋体" w:eastAsia="楷体_GB2312"/>
          <w:color w:val="000000"/>
          <w:sz w:val="32"/>
          <w:szCs w:val="32"/>
          <w:lang w:val="en-US" w:eastAsia="zh-CN"/>
        </w:rPr>
        <w:t>第八届人大常委会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lang w:val="en-US" w:eastAsia="zh-CN"/>
        </w:rPr>
        <w:t>第三次会议</w:t>
      </w:r>
      <w:r>
        <w:rPr>
          <w:rFonts w:hint="eastAsia" w:ascii="楷体_GB2312" w:hAnsi="宋体" w:eastAsia="楷体_GB2312"/>
          <w:color w:val="000000"/>
          <w:sz w:val="32"/>
          <w:szCs w:val="32"/>
        </w:rPr>
        <w:t>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宋体" w:eastAsia="楷体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深圳市罗湖区人民检察院检察长 张彬</w:t>
      </w:r>
    </w:p>
    <w:p>
      <w:pPr>
        <w:pStyle w:val="2"/>
        <w:keepNext w:val="0"/>
        <w:keepLines w:val="0"/>
        <w:pageBreakBefore w:val="0"/>
        <w:kinsoku/>
        <w:wordWrap/>
        <w:overflowPunct/>
        <w:topLinePunct w:val="0"/>
        <w:autoSpaceDE/>
        <w:autoSpaceDN/>
        <w:bidi w:val="0"/>
        <w:adjustRightInd/>
        <w:spacing w:after="0" w:afterLines="0" w:line="560" w:lineRule="exact"/>
        <w:ind w:left="0" w:leftChars="0" w:firstLine="0" w:firstLineChars="0"/>
        <w:textAlignment w:val="auto"/>
        <w:rPr>
          <w:rFonts w:hint="eastAsia" w:ascii="仿宋_GB2312" w:hAnsi="Times New Roman" w:eastAsia="仿宋_GB2312" w:cs="Times New Roman"/>
          <w:color w:val="000000"/>
          <w:kern w:val="2"/>
          <w:sz w:val="32"/>
          <w:szCs w:val="32"/>
          <w:lang w:val="zh-CN"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000000"/>
          <w:sz w:val="32"/>
          <w:szCs w:val="32"/>
          <w:lang w:val="zh-CN" w:eastAsia="zh-CN"/>
        </w:rPr>
      </w:pPr>
      <w:r>
        <w:rPr>
          <w:rFonts w:hint="eastAsia" w:ascii="仿宋_GB2312" w:hAnsi="Times New Roman" w:eastAsia="仿宋_GB2312" w:cs="Times New Roman"/>
          <w:color w:val="000000"/>
          <w:kern w:val="2"/>
          <w:sz w:val="32"/>
          <w:szCs w:val="32"/>
          <w:lang w:val="zh-CN" w:eastAsia="zh-CN" w:bidi="ar-SA"/>
        </w:rPr>
        <w:t>主任</w:t>
      </w:r>
      <w:r>
        <w:rPr>
          <w:rFonts w:hint="eastAsia" w:ascii="仿宋_GB2312" w:hAnsi="Times New Roman" w:eastAsia="仿宋_GB2312" w:cs="Times New Roman"/>
          <w:color w:val="000000"/>
          <w:sz w:val="32"/>
          <w:szCs w:val="32"/>
          <w:lang w:val="zh-CN" w:eastAsia="zh-CN"/>
        </w:rPr>
        <w:t>、副主任、各位委员：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zh-CN" w:eastAsia="zh-CN"/>
        </w:rPr>
      </w:pPr>
      <w:r>
        <w:rPr>
          <w:rFonts w:hint="eastAsia" w:ascii="仿宋_GB2312" w:hAnsi="Times New Roman" w:eastAsia="仿宋_GB2312" w:cs="Times New Roman"/>
          <w:color w:val="000000"/>
          <w:sz w:val="32"/>
          <w:szCs w:val="32"/>
          <w:lang w:val="en-US" w:eastAsia="zh-CN"/>
        </w:rPr>
        <w:t>现在我代表区检察院向区人</w:t>
      </w:r>
      <w:r>
        <w:rPr>
          <w:rFonts w:hint="eastAsia" w:ascii="仿宋_GB2312" w:hAnsi="Times New Roman" w:eastAsia="仿宋_GB2312" w:cs="Times New Roman"/>
          <w:color w:val="000000"/>
          <w:sz w:val="32"/>
          <w:szCs w:val="32"/>
          <w:lang w:val="zh-CN" w:eastAsia="zh-CN"/>
        </w:rPr>
        <w:t>大常委会报告201</w:t>
      </w:r>
      <w:r>
        <w:rPr>
          <w:rFonts w:hint="eastAsia" w:ascii="仿宋_GB2312"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lang w:val="zh-CN" w:eastAsia="zh-CN"/>
        </w:rPr>
        <w:t>年以来罗湖区人民检察院适用认罪认罚从宽制度检察工作，请予以审议并提出意见。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完善刑事诉讼中认罪认罚从宽制度，是党的十八届四中全会作出的一项重大改革部署。2016年7月，习近平总书记主持召开中央全面深化改革领导小组第二十六次会议，审议通过关于认罪认罚从宽制度改革试点方案，全国人大常委会于2016年9月作出决定，授权包括深圳在内的18个城市开展试点。2018年10月，修改后的刑事诉讼法固定、发展试点成果，确立认罪认罚从宽制度，这是中国特色社会主义刑事司法制度的重大创新，丰富了刑事司法与犯罪治理的“中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b w:val="0"/>
          <w:bCs w:val="0"/>
          <w:color w:val="000000"/>
          <w:sz w:val="32"/>
          <w:szCs w:val="32"/>
          <w:highlight w:val="yellow"/>
          <w:lang w:val="en-US" w:eastAsia="zh-CN"/>
        </w:rPr>
      </w:pPr>
      <w:r>
        <w:rPr>
          <w:rFonts w:hint="eastAsia" w:ascii="仿宋_GB2312" w:hAnsi="仿宋_GB2312" w:eastAsia="仿宋_GB2312" w:cs="仿宋_GB2312"/>
          <w:color w:val="000000"/>
          <w:kern w:val="0"/>
          <w:sz w:val="32"/>
          <w:szCs w:val="32"/>
          <w:lang w:val="en-US" w:eastAsia="zh-CN" w:bidi="ar-SA"/>
        </w:rPr>
        <w:t>认罪认罚从宽制度指犯罪嫌疑人、被告人自愿如实供述自己的罪行，承认指控的犯罪事实，愿意接受处罚的，可以依法从宽处理。</w:t>
      </w:r>
      <w:r>
        <w:rPr>
          <w:rFonts w:hint="eastAsia" w:ascii="仿宋_GB2312" w:hAnsi="Times New Roman" w:eastAsia="仿宋_GB2312" w:cs="Times New Roman"/>
          <w:color w:val="000000"/>
          <w:sz w:val="32"/>
          <w:szCs w:val="32"/>
          <w:lang w:val="en-US" w:eastAsia="zh-CN"/>
        </w:rPr>
        <w:t>认罪认罚从宽制度在我院全面实施以来，在历经扎根落地的过程中逐渐平稳，趋于成熟，在依法惩治犯罪、加强人权司法保护、贯彻宽严相济刑事司法政策、优化司法资源、促进公平正义等方面取得明显成效。</w:t>
      </w:r>
      <w:r>
        <w:rPr>
          <w:rFonts w:hint="eastAsia" w:ascii="仿宋_GB2312" w:hAnsi="Times New Roman" w:eastAsia="仿宋_GB2312" w:cs="Times New Roman"/>
          <w:color w:val="000000"/>
          <w:sz w:val="32"/>
          <w:szCs w:val="32"/>
          <w:lang w:val="zh-CN" w:eastAsia="zh-CN"/>
        </w:rPr>
        <w:t>五年来，我院共受理审查逮捕刑事犯罪嫌疑人</w:t>
      </w:r>
      <w:r>
        <w:rPr>
          <w:rFonts w:hint="eastAsia" w:ascii="仿宋_GB2312" w:hAnsi="Times New Roman" w:eastAsia="仿宋_GB2312" w:cs="Times New Roman"/>
          <w:color w:val="000000"/>
          <w:sz w:val="32"/>
          <w:szCs w:val="32"/>
          <w:lang w:val="en-US" w:eastAsia="zh-CN"/>
        </w:rPr>
        <w:t>11965</w:t>
      </w:r>
      <w:r>
        <w:rPr>
          <w:rFonts w:hint="eastAsia" w:ascii="仿宋_GB2312" w:hAnsi="Times New Roman" w:eastAsia="仿宋_GB2312" w:cs="Times New Roman"/>
          <w:color w:val="000000"/>
          <w:sz w:val="32"/>
          <w:szCs w:val="32"/>
          <w:lang w:val="zh-CN" w:eastAsia="zh-CN"/>
        </w:rPr>
        <w:t>人，受理审查起诉</w:t>
      </w:r>
      <w:r>
        <w:rPr>
          <w:rFonts w:hint="eastAsia" w:ascii="仿宋_GB2312" w:hAnsi="Times New Roman" w:eastAsia="仿宋_GB2312" w:cs="Times New Roman"/>
          <w:color w:val="000000"/>
          <w:sz w:val="32"/>
          <w:szCs w:val="32"/>
          <w:lang w:val="en-US" w:eastAsia="zh-CN"/>
        </w:rPr>
        <w:t>13720</w:t>
      </w:r>
      <w:r>
        <w:rPr>
          <w:rFonts w:hint="eastAsia" w:ascii="仿宋_GB2312" w:hAnsi="Times New Roman" w:eastAsia="仿宋_GB2312" w:cs="Times New Roman"/>
          <w:color w:val="000000"/>
          <w:sz w:val="32"/>
          <w:szCs w:val="32"/>
          <w:lang w:val="zh-CN" w:eastAsia="zh-CN"/>
        </w:rPr>
        <w:t>人；批准逮捕</w:t>
      </w:r>
      <w:r>
        <w:rPr>
          <w:rFonts w:hint="eastAsia" w:ascii="仿宋_GB2312" w:hAnsi="Times New Roman" w:eastAsia="仿宋_GB2312" w:cs="Times New Roman"/>
          <w:color w:val="000000"/>
          <w:sz w:val="32"/>
          <w:szCs w:val="32"/>
          <w:lang w:val="en-US" w:eastAsia="zh-CN"/>
        </w:rPr>
        <w:t>9759</w:t>
      </w:r>
      <w:r>
        <w:rPr>
          <w:rFonts w:hint="eastAsia" w:ascii="仿宋_GB2312" w:hAnsi="Times New Roman" w:eastAsia="仿宋_GB2312" w:cs="Times New Roman"/>
          <w:color w:val="000000"/>
          <w:sz w:val="32"/>
          <w:szCs w:val="32"/>
          <w:lang w:val="zh-CN" w:eastAsia="zh-CN"/>
        </w:rPr>
        <w:t>人，提起公诉</w:t>
      </w:r>
      <w:r>
        <w:rPr>
          <w:rFonts w:hint="eastAsia" w:ascii="仿宋_GB2312" w:hAnsi="Times New Roman" w:eastAsia="仿宋_GB2312" w:cs="Times New Roman"/>
          <w:color w:val="000000"/>
          <w:sz w:val="32"/>
          <w:szCs w:val="32"/>
          <w:lang w:val="en-US" w:eastAsia="zh-CN"/>
        </w:rPr>
        <w:t>12323</w:t>
      </w:r>
      <w:r>
        <w:rPr>
          <w:rFonts w:hint="eastAsia" w:ascii="仿宋_GB2312" w:hAnsi="Times New Roman" w:eastAsia="仿宋_GB2312" w:cs="Times New Roman"/>
          <w:color w:val="000000"/>
          <w:sz w:val="32"/>
          <w:szCs w:val="32"/>
          <w:lang w:val="zh-CN" w:eastAsia="zh-CN"/>
        </w:rPr>
        <w:t>人。其中，适用认罪认罚从宽制度</w:t>
      </w:r>
      <w:r>
        <w:rPr>
          <w:rFonts w:hint="eastAsia" w:ascii="仿宋_GB2312" w:hAnsi="Times New Roman" w:eastAsia="仿宋_GB2312" w:cs="Times New Roman"/>
          <w:color w:val="000000"/>
          <w:sz w:val="32"/>
          <w:szCs w:val="32"/>
          <w:lang w:val="en-US" w:eastAsia="zh-CN"/>
        </w:rPr>
        <w:t>6480人，检察环节认罪认罚从宽制度适用率从2017年的17.2%，提升到2021年的85.3%。对1623名被起诉的认罪认罚的被告人提出缓刑量刑建议。适用认罪认罚的案件中，一审后被告人上诉率仅为2.6%，充分彰显了认罪认罚从宽制度在推进国家治理中的优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黑体" w:hAnsi="黑体" w:eastAsia="黑体"/>
          <w:b w:val="0"/>
          <w:bCs w:val="0"/>
          <w:color w:val="000000"/>
          <w:sz w:val="32"/>
          <w:szCs w:val="32"/>
          <w:lang w:eastAsia="zh-CN"/>
        </w:rPr>
        <w:t>一、</w:t>
      </w:r>
      <w:r>
        <w:rPr>
          <w:rFonts w:hint="eastAsia" w:ascii="黑体" w:hAnsi="黑体" w:eastAsia="黑体"/>
          <w:b w:val="0"/>
          <w:bCs w:val="0"/>
          <w:color w:val="000000"/>
          <w:sz w:val="32"/>
          <w:szCs w:val="32"/>
        </w:rPr>
        <w:t>认罪认罚从宽制度</w:t>
      </w:r>
      <w:r>
        <w:rPr>
          <w:rFonts w:hint="eastAsia" w:ascii="黑体" w:hAnsi="黑体" w:eastAsia="黑体"/>
          <w:b w:val="0"/>
          <w:bCs w:val="0"/>
          <w:color w:val="000000"/>
          <w:sz w:val="32"/>
          <w:szCs w:val="32"/>
          <w:lang w:eastAsia="zh-CN"/>
        </w:rPr>
        <w:t>实施</w:t>
      </w:r>
      <w:r>
        <w:rPr>
          <w:rFonts w:hint="eastAsia" w:ascii="黑体" w:hAnsi="黑体" w:eastAsia="黑体"/>
          <w:b w:val="0"/>
          <w:bCs w:val="0"/>
          <w:color w:val="000000"/>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（一）坚持围绕中心服务大局，推动认罪认罚从宽制度充分落实。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zh-TW" w:eastAsia="zh-CN"/>
        </w:rPr>
      </w:pPr>
      <w:r>
        <w:rPr>
          <w:rFonts w:hint="eastAsia" w:ascii="Times New Roman" w:hAnsi="Times New Roman" w:eastAsia="仿宋_GB2312" w:cs="Times New Roman"/>
          <w:b/>
          <w:color w:val="000000"/>
          <w:sz w:val="32"/>
          <w:szCs w:val="32"/>
          <w:highlight w:val="none"/>
          <w:lang w:eastAsia="zh-CN"/>
        </w:rPr>
        <w:t>一是汇聚共识，率先</w:t>
      </w:r>
      <w:r>
        <w:rPr>
          <w:rFonts w:ascii="Times New Roman" w:hAnsi="Times New Roman" w:eastAsia="仿宋_GB2312" w:cs="Times New Roman"/>
          <w:b/>
          <w:color w:val="000000"/>
          <w:sz w:val="32"/>
          <w:szCs w:val="32"/>
          <w:highlight w:val="none"/>
        </w:rPr>
        <w:t>启动认罪认罚从宽处理机制。</w:t>
      </w:r>
      <w:r>
        <w:rPr>
          <w:rFonts w:hint="eastAsia" w:ascii="仿宋_GB2312" w:hAnsi="Times New Roman" w:eastAsia="仿宋_GB2312" w:cs="Times New Roman"/>
          <w:color w:val="000000"/>
          <w:sz w:val="32"/>
          <w:szCs w:val="32"/>
          <w:lang w:val="en-US" w:eastAsia="zh-CN"/>
        </w:rPr>
        <w:t>2016年，我院</w:t>
      </w:r>
      <w:r>
        <w:rPr>
          <w:rFonts w:hint="eastAsia" w:ascii="仿宋_GB2312" w:hAnsi="Times New Roman" w:eastAsia="仿宋_GB2312" w:cs="Times New Roman"/>
          <w:color w:val="000000"/>
          <w:sz w:val="32"/>
          <w:szCs w:val="32"/>
          <w:lang w:val="zh-CN" w:eastAsia="zh-CN"/>
        </w:rPr>
        <w:t>和</w:t>
      </w:r>
      <w:r>
        <w:rPr>
          <w:rFonts w:hint="eastAsia" w:ascii="仿宋_GB2312" w:hAnsi="Times New Roman" w:eastAsia="仿宋_GB2312" w:cs="Times New Roman"/>
          <w:color w:val="000000"/>
          <w:sz w:val="32"/>
          <w:szCs w:val="32"/>
          <w:lang w:val="en-US" w:eastAsia="zh-CN"/>
        </w:rPr>
        <w:t>罗湖</w:t>
      </w:r>
      <w:r>
        <w:rPr>
          <w:rFonts w:hint="eastAsia" w:ascii="仿宋_GB2312" w:hAnsi="Times New Roman" w:eastAsia="仿宋_GB2312" w:cs="Times New Roman"/>
          <w:color w:val="000000"/>
          <w:sz w:val="32"/>
          <w:szCs w:val="32"/>
          <w:lang w:val="zh-CN" w:eastAsia="zh-CN"/>
        </w:rPr>
        <w:t>公安分局、区法院刑庭进行了研讨，就刑事案件开展认罪认罚机制达成共识。2016年5月，联合区法院积极推动《刑事案件认罪认罚从宽机制实施方案》的制定发布，</w:t>
      </w:r>
      <w:r>
        <w:rPr>
          <w:rFonts w:hint="eastAsia" w:ascii="仿宋_GB2312" w:hAnsi="Times New Roman" w:eastAsia="仿宋_GB2312" w:cs="Times New Roman"/>
          <w:color w:val="000000"/>
          <w:sz w:val="32"/>
          <w:szCs w:val="32"/>
          <w:lang w:val="zh-TW" w:eastAsia="zh-CN"/>
        </w:rPr>
        <w:t>深化细化</w:t>
      </w:r>
      <w:r>
        <w:rPr>
          <w:rFonts w:hint="eastAsia" w:ascii="仿宋_GB2312" w:hAnsi="Times New Roman" w:eastAsia="仿宋_GB2312" w:cs="Times New Roman"/>
          <w:color w:val="000000"/>
          <w:sz w:val="32"/>
          <w:szCs w:val="32"/>
          <w:lang w:val="zh-CN" w:eastAsia="zh-CN"/>
        </w:rPr>
        <w:t>认罪认罚在检察环节的适用条件、启动程序、法</w:t>
      </w:r>
      <w:r>
        <w:rPr>
          <w:rFonts w:hint="eastAsia" w:ascii="仿宋_GB2312" w:hAnsi="Times New Roman" w:eastAsia="仿宋_GB2312" w:cs="Times New Roman"/>
          <w:color w:val="000000"/>
          <w:sz w:val="32"/>
          <w:szCs w:val="32"/>
          <w:lang w:val="zh-TW" w:eastAsia="zh-CN"/>
        </w:rPr>
        <w:t>律援助和协商机制，简化文书制作和审批手续，实现认罪认罚案件的快速办理。</w:t>
      </w:r>
      <w:r>
        <w:rPr>
          <w:rFonts w:hint="eastAsia" w:ascii="仿宋_GB2312" w:hAnsi="Times New Roman" w:eastAsia="仿宋_GB2312" w:cs="Times New Roman"/>
          <w:color w:val="000000"/>
          <w:sz w:val="32"/>
          <w:szCs w:val="32"/>
          <w:lang w:val="en-US" w:eastAsia="zh-CN"/>
        </w:rPr>
        <w:t>2021年11月，与区法院会签了《关于持续推进认罪认罚从宽实质化的协作备忘录》，就进一步完善协作机制，化解社会矛盾，提高服判息诉率达成了一致。</w:t>
      </w:r>
      <w:r>
        <w:rPr>
          <w:rFonts w:hint="eastAsia" w:ascii="仿宋_GB2312" w:hAnsi="Times New Roman" w:eastAsia="仿宋_GB2312" w:cs="Times New Roman"/>
          <w:color w:val="000000"/>
          <w:sz w:val="32"/>
          <w:szCs w:val="32"/>
          <w:lang w:val="zh-TW" w:eastAsia="zh-CN"/>
        </w:rPr>
        <w:t>试点以来，共办理认罪认罚案件</w:t>
      </w:r>
      <w:r>
        <w:rPr>
          <w:rFonts w:hint="eastAsia" w:ascii="仿宋_GB2312" w:hAnsi="Times New Roman" w:eastAsia="仿宋_GB2312" w:cs="Times New Roman"/>
          <w:color w:val="000000"/>
          <w:sz w:val="32"/>
          <w:szCs w:val="32"/>
          <w:lang w:val="en-US" w:eastAsia="zh-CN"/>
        </w:rPr>
        <w:t>4878</w:t>
      </w:r>
      <w:r>
        <w:rPr>
          <w:rFonts w:hint="eastAsia" w:ascii="仿宋_GB2312" w:hAnsi="Times New Roman" w:eastAsia="仿宋_GB2312" w:cs="Times New Roman"/>
          <w:color w:val="000000"/>
          <w:sz w:val="32"/>
          <w:szCs w:val="32"/>
          <w:lang w:val="zh-TW" w:eastAsia="zh-CN"/>
        </w:rPr>
        <w:t>件，占同期办理公诉案件的</w:t>
      </w:r>
      <w:r>
        <w:rPr>
          <w:rFonts w:hint="eastAsia" w:ascii="仿宋_GB2312" w:hAnsi="Times New Roman" w:eastAsia="仿宋_GB2312" w:cs="Times New Roman"/>
          <w:color w:val="000000"/>
          <w:sz w:val="32"/>
          <w:szCs w:val="32"/>
          <w:lang w:val="en-US" w:eastAsia="zh-CN"/>
        </w:rPr>
        <w:t>60.9</w:t>
      </w:r>
      <w:r>
        <w:rPr>
          <w:rFonts w:hint="eastAsia" w:ascii="仿宋_GB2312" w:hAnsi="Times New Roman" w:eastAsia="仿宋_GB2312" w:cs="Times New Roman"/>
          <w:color w:val="000000"/>
          <w:sz w:val="32"/>
          <w:szCs w:val="32"/>
          <w:lang w:val="zh-TW" w:eastAsia="zh-CN"/>
        </w:rPr>
        <w:t>%。</w:t>
      </w:r>
      <w:r>
        <w:rPr>
          <w:rFonts w:hint="eastAsia" w:ascii="仿宋_GB2312" w:hAnsi="Times New Roman" w:eastAsia="仿宋_GB2312" w:cs="Times New Roman"/>
          <w:color w:val="000000"/>
          <w:sz w:val="32"/>
          <w:szCs w:val="32"/>
          <w:lang w:val="zh-CN" w:eastAsia="zh-CN"/>
        </w:rPr>
        <w:t>强化量刑建议运用。与</w:t>
      </w:r>
      <w:r>
        <w:rPr>
          <w:rFonts w:hint="eastAsia" w:ascii="仿宋_GB2312" w:hAnsi="Times New Roman" w:eastAsia="仿宋_GB2312" w:cs="Times New Roman"/>
          <w:color w:val="000000"/>
          <w:sz w:val="32"/>
          <w:szCs w:val="32"/>
          <w:lang w:val="zh-TW" w:eastAsia="zh-CN"/>
        </w:rPr>
        <w:t>区法院建立认罪认罚案件量刑协作机制，规范量刑建议的提出、变更、调整程序和标准。五年来，提出量刑建议</w:t>
      </w:r>
      <w:r>
        <w:rPr>
          <w:rFonts w:hint="eastAsia" w:ascii="仿宋_GB2312" w:hAnsi="Times New Roman" w:eastAsia="仿宋_GB2312" w:cs="Times New Roman"/>
          <w:color w:val="000000"/>
          <w:sz w:val="32"/>
          <w:szCs w:val="32"/>
          <w:lang w:val="en-US" w:eastAsia="zh-CN"/>
        </w:rPr>
        <w:t>6480人</w:t>
      </w:r>
      <w:r>
        <w:rPr>
          <w:rFonts w:hint="eastAsia" w:ascii="仿宋_GB2312" w:hAnsi="Times New Roman" w:eastAsia="仿宋_GB2312" w:cs="Times New Roman"/>
          <w:color w:val="000000"/>
          <w:sz w:val="32"/>
          <w:szCs w:val="32"/>
          <w:lang w:val="zh-TW" w:eastAsia="zh-CN"/>
        </w:rPr>
        <w:t>，法院采纳</w:t>
      </w:r>
      <w:r>
        <w:rPr>
          <w:rFonts w:hint="eastAsia" w:ascii="仿宋_GB2312" w:hAnsi="Times New Roman" w:eastAsia="仿宋_GB2312" w:cs="Times New Roman"/>
          <w:color w:val="000000"/>
          <w:sz w:val="32"/>
          <w:szCs w:val="32"/>
          <w:lang w:val="en-US" w:eastAsia="zh-CN"/>
        </w:rPr>
        <w:t>5240人</w:t>
      </w:r>
      <w:r>
        <w:rPr>
          <w:rFonts w:hint="eastAsia" w:ascii="仿宋_GB2312" w:hAnsi="Times New Roman" w:eastAsia="仿宋_GB2312" w:cs="Times New Roman"/>
          <w:color w:val="000000"/>
          <w:sz w:val="32"/>
          <w:szCs w:val="32"/>
          <w:lang w:val="zh-TW" w:eastAsia="zh-CN"/>
        </w:rPr>
        <w:t>，采纳率8</w:t>
      </w:r>
      <w:r>
        <w:rPr>
          <w:rFonts w:hint="eastAsia" w:ascii="仿宋_GB2312" w:hAnsi="Times New Roman" w:eastAsia="仿宋_GB2312" w:cs="Times New Roman"/>
          <w:color w:val="000000"/>
          <w:sz w:val="32"/>
          <w:szCs w:val="32"/>
          <w:lang w:val="en-US" w:eastAsia="zh-CN"/>
        </w:rPr>
        <w:t>0.9</w:t>
      </w:r>
      <w:r>
        <w:rPr>
          <w:rFonts w:hint="eastAsia" w:ascii="仿宋_GB2312" w:hAnsi="Times New Roman" w:eastAsia="仿宋_GB2312" w:cs="Times New Roman"/>
          <w:color w:val="000000"/>
          <w:sz w:val="32"/>
          <w:szCs w:val="32"/>
          <w:lang w:val="zh-TW" w:eastAsia="zh-CN"/>
        </w:rPr>
        <w:t>%。依托认罪认罚机制，鼓励犯罪嫌疑人、被告人自愿认罪认罚，强化认罪认罚从宽协商过程及其结果的稳定性，进一步发挥该项制度的积极意义，</w:t>
      </w:r>
      <w:r>
        <w:rPr>
          <w:rFonts w:hint="eastAsia" w:ascii="仿宋_GB2312" w:hAnsi="Times New Roman" w:eastAsia="仿宋_GB2312" w:cs="Times New Roman"/>
          <w:color w:val="000000"/>
          <w:sz w:val="32"/>
          <w:szCs w:val="32"/>
          <w:lang w:val="zh-CN" w:eastAsia="zh-CN"/>
        </w:rPr>
        <w:t>有效提升诉讼效率，实现繁简分流，</w:t>
      </w:r>
      <w:r>
        <w:rPr>
          <w:rFonts w:hint="eastAsia" w:ascii="仿宋_GB2312" w:hAnsi="Times New Roman" w:eastAsia="仿宋_GB2312" w:cs="Times New Roman"/>
          <w:color w:val="000000"/>
          <w:sz w:val="32"/>
          <w:szCs w:val="32"/>
          <w:lang w:val="zh-TW" w:eastAsia="zh-CN"/>
        </w:rPr>
        <w:t>减少社会对抗，增强办案效果。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eastAsia="zh-CN"/>
        </w:rPr>
        <w:t>二是先行探索，构建起多层次诉讼制度体系。</w:t>
      </w:r>
      <w:r>
        <w:rPr>
          <w:rFonts w:hint="eastAsia" w:ascii="仿宋_GB2312" w:hAnsi="Times New Roman" w:eastAsia="仿宋_GB2312" w:cs="Times New Roman"/>
          <w:color w:val="000000"/>
          <w:sz w:val="32"/>
          <w:szCs w:val="32"/>
          <w:lang w:val="zh-CN" w:eastAsia="zh-CN"/>
        </w:rPr>
        <w:t>我院自2014年起开始试点刑事案件速裁程序办理机制，2016年，在轻微刑事案件快速办理机制及刑事速裁案件试点工作的基础上，将认罪认罚试点工作作为刑检工作的重点，实现</w:t>
      </w:r>
      <w:r>
        <w:rPr>
          <w:rFonts w:hint="eastAsia" w:ascii="仿宋_GB2312" w:hAnsi="Times New Roman" w:eastAsia="仿宋_GB2312" w:cs="Times New Roman"/>
          <w:color w:val="000000"/>
          <w:sz w:val="32"/>
          <w:szCs w:val="32"/>
          <w:lang w:val="en-US" w:eastAsia="zh-CN"/>
        </w:rPr>
        <w:t>从试点之初的主要适用于速裁程序、简易程序审理的轻刑案件，到全面推广至涉黑涉恶、职务犯罪、涉众型经济犯罪等疑难复杂案件。在国家立法层面正式确立后，构建起与速裁程序、简易程序、普通程序有序衔接、繁简分流的多层次诉讼制度体系。在扫黑除恶专项斗争中，我院审定的</w:t>
      </w:r>
      <w:r>
        <w:rPr>
          <w:rFonts w:hint="eastAsia" w:ascii="仿宋_GB2312" w:hAnsi="Times New Roman" w:eastAsia="仿宋_GB2312" w:cs="Times New Roman"/>
          <w:color w:val="000000"/>
          <w:sz w:val="32"/>
          <w:szCs w:val="32"/>
          <w:lang w:val="zh-CN" w:eastAsia="zh-CN"/>
        </w:rPr>
        <w:t>涉黑涉恶案件</w:t>
      </w:r>
      <w:r>
        <w:rPr>
          <w:rFonts w:hint="eastAsia" w:ascii="仿宋_GB2312" w:hAnsi="Times New Roman" w:eastAsia="仿宋_GB2312" w:cs="Times New Roman"/>
          <w:color w:val="000000"/>
          <w:sz w:val="32"/>
          <w:szCs w:val="32"/>
          <w:lang w:val="en-US" w:eastAsia="zh-CN"/>
        </w:rPr>
        <w:t>16件86人，适用认罪认罚的有7件20人，占比43.8%；近年办理的涉众型金融犯罪案件260件526人中，适用认罪认罚的有87件143人，占比33.5%。</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val="en-US" w:eastAsia="zh-CN"/>
        </w:rPr>
        <w:t>三是协同推广，建立宣传常态化机制。</w:t>
      </w:r>
      <w:r>
        <w:rPr>
          <w:rFonts w:hint="eastAsia" w:ascii="仿宋_GB2312" w:hAnsi="Times New Roman" w:eastAsia="仿宋_GB2312" w:cs="Times New Roman"/>
          <w:color w:val="000000"/>
          <w:sz w:val="32"/>
          <w:szCs w:val="32"/>
          <w:lang w:val="en-US" w:eastAsia="zh-CN"/>
        </w:rPr>
        <w:t>一方面，</w:t>
      </w:r>
      <w:r>
        <w:rPr>
          <w:rFonts w:hint="eastAsia" w:ascii="仿宋_GB2312" w:hAnsi="Times New Roman" w:eastAsia="仿宋_GB2312" w:cs="Times New Roman"/>
          <w:color w:val="000000"/>
          <w:sz w:val="32"/>
          <w:szCs w:val="32"/>
          <w:lang w:val="zh-CN" w:eastAsia="zh-CN"/>
        </w:rPr>
        <w:t>充分发挥检察新媒体宣传阵地作用，</w:t>
      </w:r>
      <w:r>
        <w:rPr>
          <w:rFonts w:hint="eastAsia" w:ascii="仿宋_GB2312" w:hAnsi="Times New Roman" w:eastAsia="仿宋_GB2312" w:cs="Times New Roman"/>
          <w:color w:val="000000"/>
          <w:sz w:val="32"/>
          <w:szCs w:val="32"/>
          <w:lang w:val="en-US" w:eastAsia="zh-CN"/>
        </w:rPr>
        <w:t>通过微信公众号、宣传手册等多种载体，向社会公众普及认罪认罚制度；另一方面，协同罗湖公安分局、罗湖区看守所，通过日常认罪认罚法治宣传的方式，以浅显易懂的内容使犯罪嫌疑人、被告人充分理解认罪认罚从宽制度，并自愿主动适用认罪认罚从宽处理机制。通过释法说理，成功促成一宗涉案17人的“套路贷”诈骗案全案认罪认罚，包括法定刑在10年以上的重罪案件犯罪嫌疑人认罪认罚3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val="en-US" w:eastAsia="zh-CN"/>
        </w:rPr>
        <w:t>四是提升效率，及时有效惩治犯罪。</w:t>
      </w:r>
      <w:r>
        <w:rPr>
          <w:rFonts w:hint="eastAsia" w:ascii="仿宋_GB2312" w:hAnsi="Times New Roman" w:eastAsia="仿宋_GB2312" w:cs="Times New Roman"/>
          <w:color w:val="000000"/>
          <w:sz w:val="32"/>
          <w:szCs w:val="32"/>
          <w:lang w:val="en-US" w:eastAsia="zh-CN"/>
        </w:rPr>
        <w:t>在落实认罪认罚从宽制度过程中，贯彻“</w:t>
      </w:r>
      <w:r>
        <w:rPr>
          <w:rFonts w:hint="default" w:ascii="仿宋_GB2312" w:hAnsi="Times New Roman" w:eastAsia="仿宋_GB2312" w:cs="Times New Roman"/>
          <w:color w:val="000000"/>
          <w:sz w:val="32"/>
          <w:szCs w:val="32"/>
          <w:lang w:val="en-US" w:eastAsia="zh-CN"/>
        </w:rPr>
        <w:t>少捕</w:t>
      </w:r>
      <w:r>
        <w:rPr>
          <w:rFonts w:hint="eastAsia" w:ascii="仿宋_GB2312" w:hAnsi="Times New Roman" w:eastAsia="仿宋_GB2312" w:cs="Times New Roman"/>
          <w:color w:val="000000"/>
          <w:sz w:val="32"/>
          <w:szCs w:val="32"/>
          <w:lang w:val="en-US" w:eastAsia="zh-CN"/>
        </w:rPr>
        <w:t>慎诉慎押”刑事司法政策，鼓励犯罪嫌疑人主动坦白、如实供述，在查清犯罪事实和固定证据的前提下，高质量做好</w:t>
      </w:r>
      <w:r>
        <w:rPr>
          <w:rFonts w:hint="default" w:ascii="仿宋_GB2312" w:hAnsi="Times New Roman" w:eastAsia="仿宋_GB2312" w:cs="Times New Roman"/>
          <w:color w:val="000000"/>
          <w:sz w:val="32"/>
          <w:szCs w:val="32"/>
          <w:lang w:val="en-US" w:eastAsia="zh-CN"/>
        </w:rPr>
        <w:t>羁押必要性审查</w:t>
      </w:r>
      <w:r>
        <w:rPr>
          <w:rFonts w:hint="eastAsia" w:ascii="仿宋_GB2312" w:hAnsi="Times New Roman" w:eastAsia="仿宋_GB2312" w:cs="Times New Roman"/>
          <w:color w:val="000000"/>
          <w:sz w:val="32"/>
          <w:szCs w:val="32"/>
          <w:lang w:val="en-US" w:eastAsia="zh-CN"/>
        </w:rPr>
        <w:t>。针对醉驾、故意伤害（轻伤）、盗窃等轻微刑事案件，在犯罪嫌疑人认罪认罚且有赔偿能力，并在其提供赔偿还款计划后，综合考虑其前科情况、被害人谅解程度、行为手段等条件，作出不批准逮捕决定或及时变更强制措施，在有效惩治犯罪的同时，努力彰显司法文明与检察温度。五年来，适用认罪认罚制度办理的案件中，对在侦查阶段认罪的677件790人作出不批准逮捕决定。对在审查起诉阶段认罪的319名犯罪嫌疑人作出变更强制措施决定，审前羁押率从五年前77.3%降至目前67.2%</w:t>
      </w:r>
      <w:r>
        <w:rPr>
          <w:rFonts w:hint="default"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同时，依法用好起诉裁量权，对认罪认罚的轻微刑事案件，依法作出不起诉决定790人，占适用认罪认罚从宽制度适用总人数的11.0%。认罪认罚从宽，既在实体上体现从宽，也在程序上体现从简。起诉到法院后适用简易程序审理的占54.9 %；适用普通程序审理的占32.8%，显著提升了刑事诉讼效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val="en-US" w:eastAsia="zh-CN"/>
        </w:rPr>
        <w:t>五是化解矛盾，促进社会和谐稳定。</w:t>
      </w:r>
      <w:r>
        <w:rPr>
          <w:rFonts w:hint="eastAsia" w:ascii="仿宋_GB2312" w:hAnsi="Times New Roman" w:eastAsia="仿宋_GB2312" w:cs="Times New Roman"/>
          <w:color w:val="000000"/>
          <w:sz w:val="32"/>
          <w:szCs w:val="32"/>
          <w:lang w:val="en-US" w:eastAsia="zh-CN"/>
        </w:rPr>
        <w:t>在现代刑事司法制度下，犯罪嫌疑人、被告人不是指控和审判行为的被动承受者，而是诉讼程序直接参与者。认罪认罚从宽制度事实上赋予了犯罪嫌疑人、被告人更多实质的参与权、程序的决定权。犯罪嫌疑人自愿认罪认罚，有助于增强接受教育矫正的自觉性，更好回归社会，最大减少社会的对立面。同时在办理案件中，教育、引导犯罪嫌疑人认罪认罚，退赃理赔，并将是否赔偿被害人、取得被害人谅解作为从宽考虑的重要考虑因素，及时化解社会矛盾，修复被损害的社会关系。适用认罪认罚的案件中，一审后被告人上诉率仅为2.6%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（二）坚持多措并举，推动认罪认罚从宽制度平稳运行。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仿宋_GB2312" w:hAnsi="仿宋_GB2312" w:eastAsia="仿宋_GB2312" w:cs="仿宋_GB2312"/>
          <w:b/>
          <w:color w:val="000000"/>
          <w:sz w:val="32"/>
          <w:szCs w:val="32"/>
          <w:highlight w:val="none"/>
          <w:lang w:val="en-US" w:eastAsia="zh-CN"/>
        </w:rPr>
        <w:t>一是精准履职，</w:t>
      </w:r>
      <w:r>
        <w:rPr>
          <w:rFonts w:hint="eastAsia" w:ascii="仿宋_GB2312" w:hAnsi="仿宋_GB2312" w:eastAsia="仿宋_GB2312" w:cs="仿宋_GB2312"/>
          <w:b/>
          <w:color w:val="000000"/>
          <w:sz w:val="32"/>
          <w:szCs w:val="32"/>
          <w:highlight w:val="none"/>
          <w:lang w:eastAsia="zh-CN"/>
        </w:rPr>
        <w:t>高效办理各类涉疫案件。</w:t>
      </w:r>
      <w:r>
        <w:rPr>
          <w:rFonts w:hint="eastAsia" w:ascii="仿宋_GB2312" w:hAnsi="Times New Roman" w:eastAsia="仿宋_GB2312" w:cs="Times New Roman"/>
          <w:color w:val="000000"/>
          <w:sz w:val="32"/>
          <w:szCs w:val="32"/>
          <w:lang w:val="en-US" w:eastAsia="zh-CN"/>
        </w:rPr>
        <w:t>新冠肺炎疫情发生后，我院坚决贯彻落实上级</w:t>
      </w:r>
      <w:r>
        <w:rPr>
          <w:rFonts w:hint="default" w:ascii="仿宋_GB2312" w:hAnsi="Times New Roman" w:eastAsia="仿宋_GB2312" w:cs="Times New Roman"/>
          <w:color w:val="000000"/>
          <w:sz w:val="32"/>
          <w:szCs w:val="32"/>
          <w:lang w:val="en-US" w:eastAsia="zh-CN"/>
        </w:rPr>
        <w:t>检察机关</w:t>
      </w:r>
      <w:r>
        <w:rPr>
          <w:rFonts w:hint="eastAsia" w:ascii="仿宋_GB2312" w:hAnsi="Times New Roman" w:eastAsia="仿宋_GB2312" w:cs="Times New Roman"/>
          <w:color w:val="000000"/>
          <w:sz w:val="32"/>
          <w:szCs w:val="32"/>
          <w:lang w:val="en-US" w:eastAsia="zh-CN"/>
        </w:rPr>
        <w:t>工作</w:t>
      </w:r>
      <w:r>
        <w:rPr>
          <w:rFonts w:hint="default" w:ascii="仿宋_GB2312" w:hAnsi="Times New Roman" w:eastAsia="仿宋_GB2312" w:cs="Times New Roman"/>
          <w:color w:val="000000"/>
          <w:sz w:val="32"/>
          <w:szCs w:val="32"/>
          <w:lang w:val="en-US" w:eastAsia="zh-CN"/>
        </w:rPr>
        <w:t>部署</w:t>
      </w:r>
      <w:r>
        <w:rPr>
          <w:rFonts w:hint="eastAsia" w:ascii="仿宋_GB2312" w:hAnsi="Times New Roman" w:eastAsia="仿宋_GB2312" w:cs="Times New Roman"/>
          <w:color w:val="000000"/>
          <w:sz w:val="32"/>
          <w:szCs w:val="32"/>
          <w:lang w:val="en-US" w:eastAsia="zh-CN"/>
        </w:rPr>
        <w:t>，充分履行法律监督职责。对涉疫案件一律“提前介入、专人指导、快速办理”，主动强化与公安、法院等部门的协作配合，组织精干力量从严从快打击妨害传染病防治、</w:t>
      </w:r>
      <w:r>
        <w:rPr>
          <w:rFonts w:hint="default" w:ascii="仿宋_GB2312" w:hAnsi="Times New Roman" w:eastAsia="仿宋_GB2312" w:cs="Times New Roman"/>
          <w:color w:val="000000"/>
          <w:sz w:val="32"/>
          <w:szCs w:val="32"/>
          <w:lang w:val="en-US" w:eastAsia="zh-CN"/>
        </w:rPr>
        <w:t>暴力伤医、造谣传谣、</w:t>
      </w:r>
      <w:r>
        <w:rPr>
          <w:rFonts w:hint="eastAsia" w:ascii="仿宋_GB2312" w:hAnsi="Times New Roman" w:eastAsia="仿宋_GB2312" w:cs="Times New Roman"/>
          <w:color w:val="000000"/>
          <w:sz w:val="32"/>
          <w:szCs w:val="32"/>
          <w:lang w:val="en-US" w:eastAsia="zh-CN"/>
        </w:rPr>
        <w:t>诈骗</w:t>
      </w:r>
      <w:r>
        <w:rPr>
          <w:rFonts w:hint="default" w:ascii="仿宋_GB2312" w:hAnsi="Times New Roman" w:eastAsia="仿宋_GB2312" w:cs="Times New Roman"/>
          <w:color w:val="000000"/>
          <w:sz w:val="32"/>
          <w:szCs w:val="32"/>
          <w:lang w:val="en-US" w:eastAsia="zh-CN"/>
        </w:rPr>
        <w:t>等</w:t>
      </w:r>
      <w:r>
        <w:rPr>
          <w:rFonts w:hint="eastAsia" w:ascii="仿宋_GB2312" w:hAnsi="Times New Roman" w:eastAsia="仿宋_GB2312" w:cs="Times New Roman"/>
          <w:color w:val="000000"/>
          <w:sz w:val="32"/>
          <w:szCs w:val="32"/>
          <w:lang w:val="en-US" w:eastAsia="zh-CN"/>
        </w:rPr>
        <w:t>涉疫情</w:t>
      </w:r>
      <w:r>
        <w:rPr>
          <w:rFonts w:hint="default" w:ascii="仿宋_GB2312" w:hAnsi="Times New Roman" w:eastAsia="仿宋_GB2312" w:cs="Times New Roman"/>
          <w:color w:val="000000"/>
          <w:sz w:val="32"/>
          <w:szCs w:val="32"/>
          <w:lang w:val="en-US" w:eastAsia="zh-CN"/>
        </w:rPr>
        <w:t>违法犯罪</w:t>
      </w:r>
      <w:r>
        <w:rPr>
          <w:rFonts w:hint="eastAsia" w:ascii="仿宋_GB2312" w:hAnsi="Times New Roman" w:eastAsia="仿宋_GB2312" w:cs="Times New Roman"/>
          <w:color w:val="000000"/>
          <w:sz w:val="32"/>
          <w:szCs w:val="32"/>
          <w:lang w:val="en-US" w:eastAsia="zh-CN"/>
        </w:rPr>
        <w:t>，依法及时对生产、加工、销售野生动物等破坏生态环境的行为提起刑事附带民事公益诉讼，先后办理了我市首宗防疫物资诈骗案、首例野生动物保护刑事附带民事公益诉讼案等涉疫情案件，协同侦查、审判机关用好认罪认罚从宽制度。2020年以来，共审结21件22人涉疫案件，其中19件20人适用认罪认罚从宽制度，适用率90.5%，</w:t>
      </w:r>
      <w:r>
        <w:rPr>
          <w:rFonts w:hint="default" w:ascii="仿宋_GB2312" w:hAnsi="Times New Roman" w:eastAsia="仿宋_GB2312" w:cs="Times New Roman"/>
          <w:color w:val="000000"/>
          <w:sz w:val="32"/>
          <w:szCs w:val="32"/>
          <w:lang w:val="en-US" w:eastAsia="zh-CN"/>
        </w:rPr>
        <w:t>为</w:t>
      </w:r>
      <w:r>
        <w:rPr>
          <w:rFonts w:hint="eastAsia" w:ascii="仿宋_GB2312" w:hAnsi="Times New Roman" w:eastAsia="仿宋_GB2312" w:cs="Times New Roman"/>
          <w:color w:val="000000"/>
          <w:sz w:val="32"/>
          <w:szCs w:val="32"/>
          <w:lang w:val="en-US" w:eastAsia="zh-CN"/>
        </w:rPr>
        <w:t>罗湖辖区开展疫情防控营造了有利司法环境。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val="en-US" w:eastAsia="zh-CN"/>
        </w:rPr>
        <w:t>二是持续强化，为罗湖经济发展提供司法保障。</w:t>
      </w:r>
      <w:r>
        <w:rPr>
          <w:rFonts w:hint="eastAsia" w:ascii="仿宋_GB2312" w:hAnsi="Times New Roman" w:eastAsia="仿宋_GB2312" w:cs="Times New Roman"/>
          <w:color w:val="000000"/>
          <w:sz w:val="32"/>
          <w:szCs w:val="32"/>
          <w:lang w:val="zh-CN" w:eastAsia="zh-CN"/>
        </w:rPr>
        <w:t>贯彻</w:t>
      </w:r>
      <w:r>
        <w:rPr>
          <w:rFonts w:hint="eastAsia" w:ascii="仿宋_GB2312" w:hAnsi="Times New Roman" w:eastAsia="仿宋_GB2312" w:cs="Times New Roman"/>
          <w:color w:val="000000"/>
          <w:sz w:val="32"/>
          <w:szCs w:val="32"/>
          <w:lang w:val="en-US" w:eastAsia="zh-CN"/>
        </w:rPr>
        <w:t>谦抑慎刑</w:t>
      </w:r>
      <w:r>
        <w:rPr>
          <w:rFonts w:hint="eastAsia" w:ascii="仿宋_GB2312" w:hAnsi="Times New Roman" w:eastAsia="仿宋_GB2312" w:cs="Times New Roman"/>
          <w:color w:val="000000"/>
          <w:sz w:val="32"/>
          <w:szCs w:val="32"/>
          <w:lang w:val="zh-CN" w:eastAsia="zh-CN"/>
        </w:rPr>
        <w:t>、宽严相济刑事司法政策，印发</w:t>
      </w:r>
      <w:r>
        <w:rPr>
          <w:rFonts w:hint="eastAsia" w:ascii="仿宋_GB2312" w:hAnsi="Times New Roman" w:eastAsia="仿宋_GB2312" w:cs="Times New Roman"/>
          <w:color w:val="000000"/>
          <w:sz w:val="32"/>
          <w:szCs w:val="32"/>
          <w:lang w:val="en-US" w:eastAsia="zh-CN"/>
        </w:rPr>
        <w:t>《关于保护民营企业常见刑事案件处理的实施</w:t>
      </w:r>
      <w:r>
        <w:rPr>
          <w:rFonts w:hint="eastAsia" w:ascii="仿宋_GB2312" w:hAnsi="Times New Roman" w:eastAsia="仿宋_GB2312" w:cs="Times New Roman"/>
          <w:color w:val="000000"/>
          <w:sz w:val="32"/>
          <w:szCs w:val="32"/>
          <w:lang w:val="zh-CN" w:eastAsia="zh-CN"/>
        </w:rPr>
        <w:t>意见》，</w:t>
      </w:r>
      <w:r>
        <w:rPr>
          <w:rFonts w:hint="eastAsia" w:ascii="仿宋_GB2312" w:hAnsi="Times New Roman" w:eastAsia="仿宋_GB2312" w:cs="Times New Roman"/>
          <w:color w:val="000000"/>
          <w:sz w:val="32"/>
          <w:szCs w:val="32"/>
          <w:lang w:val="en-US" w:eastAsia="zh-CN"/>
        </w:rPr>
        <w:t>严格区分罪与非罪、刑事犯罪与民事侵权界限</w:t>
      </w:r>
      <w:r>
        <w:rPr>
          <w:rFonts w:hint="eastAsia" w:ascii="仿宋_GB2312" w:hAnsi="Times New Roman" w:eastAsia="仿宋_GB2312" w:cs="Times New Roman"/>
          <w:color w:val="000000"/>
          <w:sz w:val="32"/>
          <w:szCs w:val="32"/>
          <w:lang w:val="zh-CN" w:eastAsia="zh-CN"/>
        </w:rPr>
        <w:t>，</w:t>
      </w:r>
      <w:r>
        <w:rPr>
          <w:rFonts w:hint="eastAsia" w:ascii="仿宋_GB2312" w:hAnsi="Times New Roman" w:eastAsia="仿宋_GB2312" w:cs="Times New Roman"/>
          <w:color w:val="000000"/>
          <w:sz w:val="32"/>
          <w:szCs w:val="32"/>
          <w:lang w:val="en-US" w:eastAsia="zh-CN"/>
        </w:rPr>
        <w:t>注重认罪认罚从宽制度与企业合规工作的对接，</w:t>
      </w:r>
      <w:r>
        <w:rPr>
          <w:rFonts w:hint="eastAsia" w:ascii="仿宋_GB2312" w:hAnsi="Times New Roman" w:eastAsia="仿宋_GB2312" w:cs="Times New Roman"/>
          <w:color w:val="000000"/>
          <w:sz w:val="32"/>
          <w:szCs w:val="32"/>
          <w:lang w:val="zh-CN" w:eastAsia="zh-CN"/>
        </w:rPr>
        <w:t>针对辖区黄金珠宝特色行业发展需求积极开展企业刑事合规探索，</w:t>
      </w:r>
      <w:r>
        <w:rPr>
          <w:rFonts w:hint="eastAsia" w:ascii="仿宋_GB2312" w:hAnsi="Times New Roman" w:eastAsia="仿宋_GB2312" w:cs="Times New Roman"/>
          <w:color w:val="000000"/>
          <w:sz w:val="32"/>
          <w:szCs w:val="32"/>
          <w:lang w:val="en-US" w:eastAsia="zh-CN"/>
        </w:rPr>
        <w:t>努力</w:t>
      </w:r>
      <w:r>
        <w:rPr>
          <w:rFonts w:hint="eastAsia" w:ascii="仿宋_GB2312" w:hAnsi="Times New Roman" w:eastAsia="仿宋_GB2312" w:cs="Times New Roman"/>
          <w:color w:val="000000"/>
          <w:sz w:val="32"/>
          <w:szCs w:val="32"/>
          <w:lang w:val="zh-CN" w:eastAsia="zh-CN"/>
        </w:rPr>
        <w:t>为辖区民营企业提供</w:t>
      </w:r>
      <w:r>
        <w:rPr>
          <w:rFonts w:hint="eastAsia" w:ascii="仿宋_GB2312" w:hAnsi="Times New Roman" w:eastAsia="仿宋_GB2312" w:cs="Times New Roman"/>
          <w:color w:val="000000"/>
          <w:sz w:val="32"/>
          <w:szCs w:val="32"/>
          <w:lang w:val="en-US" w:eastAsia="zh-CN"/>
        </w:rPr>
        <w:t>更好更实的检察服务。依法适用认罪认罚从宽制度对11名涉及单位犯罪但情节轻微的企业负责人作出不捕、不诉决定，为企业扎根罗湖营造稳定和谐的法治环境。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color w:val="000000"/>
          <w:sz w:val="32"/>
          <w:szCs w:val="32"/>
          <w:highlight w:val="none"/>
          <w:lang w:val="en-US" w:eastAsia="zh-CN"/>
        </w:rPr>
        <w:t>三是全面保障，推动落实值班律师制度。</w:t>
      </w:r>
      <w:r>
        <w:rPr>
          <w:rFonts w:hint="eastAsia" w:ascii="仿宋_GB2312" w:hAnsi="Times New Roman" w:eastAsia="仿宋_GB2312" w:cs="Times New Roman"/>
          <w:color w:val="000000"/>
          <w:sz w:val="32"/>
          <w:szCs w:val="32"/>
          <w:lang w:val="en-US" w:eastAsia="zh-CN"/>
        </w:rPr>
        <w:t>先行探索值班律师参与认罪认罚案件，</w:t>
      </w:r>
      <w:r>
        <w:rPr>
          <w:rFonts w:hint="default" w:ascii="仿宋_GB2312" w:hAnsi="Times New Roman" w:eastAsia="仿宋_GB2312" w:cs="Times New Roman"/>
          <w:color w:val="000000"/>
          <w:sz w:val="32"/>
          <w:szCs w:val="32"/>
          <w:lang w:val="en-US" w:eastAsia="zh-CN"/>
        </w:rPr>
        <w:t>率先开通辩护与代理预约业务微信办理平台</w:t>
      </w:r>
      <w:r>
        <w:rPr>
          <w:rFonts w:hint="eastAsia" w:ascii="仿宋_GB2312" w:hAnsi="Times New Roman" w:eastAsia="仿宋_GB2312" w:cs="Times New Roman"/>
          <w:color w:val="000000"/>
          <w:sz w:val="32"/>
          <w:szCs w:val="32"/>
          <w:lang w:val="en-US" w:eastAsia="zh-CN"/>
        </w:rPr>
        <w:t>。与区司法局协商后，派驻执业律师驻点检察院及看守所，专业见证犯罪嫌疑人、被告人认罪认罚，参与量刑协商。2020年8月，最高法、最高检、公安部、国家安全部、司法部联合印发的《法律援助值班律师工作办法》进一步细化了值班律师职责后，区检察院采用多种方式为律师会见、阅卷、量刑协商等执业活动提供便利，利用互联网终端，全面推行阅卷网上预约制，并设置异地律师绿色通道。五年期间，收到律师网上预约阅卷4356人次，值班律师为犯罪嫌疑人提供法律帮助3325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（三）坚持防范</w:t>
      </w:r>
      <w:r>
        <w:rPr>
          <w:rFonts w:hint="eastAsia" w:ascii="楷体_GB2312" w:hAnsi="楷体_GB2312" w:eastAsia="楷体_GB2312" w:cs="楷体_GB2312"/>
          <w:b/>
          <w:bCs/>
          <w:color w:val="000000"/>
          <w:sz w:val="32"/>
          <w:szCs w:val="32"/>
        </w:rPr>
        <w:t>廉政风险，</w:t>
      </w:r>
      <w:r>
        <w:rPr>
          <w:rFonts w:hint="eastAsia" w:ascii="楷体_GB2312" w:hAnsi="楷体_GB2312" w:eastAsia="楷体_GB2312" w:cs="楷体_GB2312"/>
          <w:b/>
          <w:bCs/>
          <w:color w:val="000000"/>
          <w:sz w:val="32"/>
          <w:szCs w:val="32"/>
          <w:lang w:eastAsia="zh-CN"/>
        </w:rPr>
        <w:t>推动</w:t>
      </w:r>
      <w:r>
        <w:rPr>
          <w:rFonts w:hint="eastAsia" w:ascii="楷体_GB2312" w:hAnsi="楷体_GB2312" w:eastAsia="楷体_GB2312" w:cs="楷体_GB2312"/>
          <w:b/>
          <w:bCs/>
          <w:color w:val="000000"/>
          <w:sz w:val="32"/>
          <w:szCs w:val="32"/>
        </w:rPr>
        <w:t>有序放权与有效监督相统一</w:t>
      </w:r>
      <w:r>
        <w:rPr>
          <w:rFonts w:hint="eastAsia" w:ascii="楷体_GB2312" w:hAnsi="楷体_GB2312" w:eastAsia="楷体_GB2312" w:cs="楷体_GB2312"/>
          <w:b/>
          <w:bCs/>
          <w:color w:val="000000"/>
          <w:sz w:val="32"/>
          <w:szCs w:val="32"/>
          <w:lang w:eastAsia="zh-CN"/>
        </w:rPr>
        <w:t>。</w:t>
      </w:r>
    </w:p>
    <w:p>
      <w:pPr>
        <w:pStyle w:val="29"/>
        <w:keepNext w:val="0"/>
        <w:keepLines w:val="0"/>
        <w:pageBreakBefore w:val="0"/>
        <w:widowControl w:val="0"/>
        <w:kinsoku/>
        <w:wordWrap/>
        <w:overflowPunct/>
        <w:topLinePunct w:val="0"/>
        <w:autoSpaceDE/>
        <w:autoSpaceDN/>
        <w:bidi w:val="0"/>
        <w:adjustRightInd/>
        <w:snapToGrid/>
        <w:spacing w:line="560" w:lineRule="exact"/>
        <w:ind w:firstLine="630" w:firstLineChars="196"/>
        <w:jc w:val="left"/>
        <w:textAlignment w:val="auto"/>
        <w:rPr>
          <w:rFonts w:hint="eastAsia" w:ascii="仿宋_GB2312" w:hAnsi="Times New Roman" w:eastAsia="仿宋_GB2312" w:cs="Times New Roman"/>
          <w:color w:val="000000"/>
          <w:kern w:val="2"/>
          <w:sz w:val="32"/>
          <w:szCs w:val="32"/>
          <w:lang w:val="zh-CN" w:eastAsia="zh-CN" w:bidi="ar-SA"/>
        </w:rPr>
      </w:pPr>
      <w:r>
        <w:rPr>
          <w:rFonts w:hint="eastAsia" w:ascii="仿宋_GB2312" w:hAnsi="仿宋_GB2312" w:eastAsia="仿宋_GB2312" w:cs="仿宋_GB2312"/>
          <w:b/>
          <w:bCs/>
          <w:color w:val="000000"/>
          <w:kern w:val="2"/>
          <w:sz w:val="32"/>
          <w:szCs w:val="32"/>
          <w:lang w:val="en-US" w:eastAsia="zh-CN" w:bidi="ar-SA"/>
        </w:rPr>
        <w:t>一是全面抓好从严治检。</w:t>
      </w:r>
      <w:r>
        <w:rPr>
          <w:rFonts w:hint="eastAsia" w:ascii="仿宋_GB2312" w:hAnsi="Times New Roman" w:eastAsia="仿宋_GB2312" w:cs="Times New Roman"/>
          <w:color w:val="000000"/>
          <w:kern w:val="2"/>
          <w:sz w:val="32"/>
          <w:szCs w:val="32"/>
          <w:lang w:val="zh-CN" w:eastAsia="zh-CN" w:bidi="ar-SA"/>
        </w:rPr>
        <w:t>以政法队伍教育整顿和市委巡查整改为契机，持续抓实纪律作风和党风廉政建设，营造风清气正的良好氛围。严格执行《领导干部干预司法活动、插手具体案件处理的记录、通报和责任追究规定》《司法机关内部人员过问案件的记录和责任追究规定》《关于进一步规范司法人员与当事人、律师、特殊关系人、中介组织接触交往行为的若干规定》等“三个规定”，坚决防止人情案、关系案、金钱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二是自觉接受外部监督。</w:t>
      </w:r>
      <w:r>
        <w:rPr>
          <w:rFonts w:hint="eastAsia" w:ascii="仿宋_GB2312" w:hAnsi="Times New Roman" w:eastAsia="仿宋_GB2312" w:cs="Times New Roman"/>
          <w:color w:val="000000"/>
          <w:kern w:val="2"/>
          <w:sz w:val="32"/>
          <w:szCs w:val="32"/>
          <w:lang w:val="zh-CN" w:eastAsia="zh-CN" w:bidi="ar-SA"/>
        </w:rPr>
        <w:t>积极开展认罪认罚案件、羁押必要性审查公开听证</w:t>
      </w:r>
      <w:r>
        <w:rPr>
          <w:rFonts w:hint="eastAsia" w:ascii="仿宋_GB2312" w:hAnsi="Times New Roman" w:eastAsia="仿宋_GB2312" w:cs="Times New Roman"/>
          <w:color w:val="000000"/>
          <w:kern w:val="2"/>
          <w:sz w:val="32"/>
          <w:szCs w:val="32"/>
          <w:lang w:val="en-US" w:eastAsia="zh-CN" w:bidi="ar-SA"/>
        </w:rPr>
        <w:t>工作</w:t>
      </w:r>
      <w:r>
        <w:rPr>
          <w:rFonts w:hint="default" w:ascii="仿宋_GB2312" w:hAnsi="Times New Roman" w:eastAsia="仿宋_GB2312" w:cs="Times New Roman"/>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利用已</w:t>
      </w:r>
      <w:r>
        <w:rPr>
          <w:rFonts w:hint="default" w:ascii="仿宋_GB2312" w:hAnsi="Times New Roman" w:eastAsia="仿宋_GB2312" w:cs="Times New Roman"/>
          <w:color w:val="000000"/>
          <w:kern w:val="2"/>
          <w:sz w:val="32"/>
          <w:szCs w:val="32"/>
          <w:lang w:val="en-US" w:eastAsia="zh-CN" w:bidi="ar-SA"/>
        </w:rPr>
        <w:t>建成</w:t>
      </w:r>
      <w:r>
        <w:rPr>
          <w:rFonts w:hint="eastAsia" w:ascii="仿宋_GB2312" w:hAnsi="Times New Roman" w:eastAsia="仿宋_GB2312" w:cs="Times New Roman"/>
          <w:color w:val="000000"/>
          <w:kern w:val="2"/>
          <w:sz w:val="32"/>
          <w:szCs w:val="32"/>
          <w:lang w:val="en-US" w:eastAsia="zh-CN" w:bidi="ar-SA"/>
        </w:rPr>
        <w:t>的“智慧+功能辅助”</w:t>
      </w:r>
      <w:r>
        <w:rPr>
          <w:rFonts w:hint="default" w:ascii="仿宋_GB2312" w:hAnsi="Times New Roman" w:eastAsia="仿宋_GB2312" w:cs="Times New Roman"/>
          <w:color w:val="000000"/>
          <w:kern w:val="2"/>
          <w:sz w:val="32"/>
          <w:szCs w:val="32"/>
          <w:lang w:val="en-US" w:eastAsia="zh-CN" w:bidi="ar-SA"/>
        </w:rPr>
        <w:t>检察听证室，</w:t>
      </w:r>
      <w:r>
        <w:rPr>
          <w:rFonts w:hint="eastAsia" w:ascii="仿宋_GB2312" w:hAnsi="Times New Roman" w:eastAsia="仿宋_GB2312" w:cs="Times New Roman"/>
          <w:color w:val="000000"/>
          <w:kern w:val="2"/>
          <w:sz w:val="32"/>
          <w:szCs w:val="32"/>
          <w:lang w:val="zh-CN" w:eastAsia="zh-CN" w:bidi="ar-SA"/>
        </w:rPr>
        <w:t>邀请党代表、人大代表、政协委员、人民监督员、司法监督员、特约检察员参加</w:t>
      </w:r>
      <w:r>
        <w:rPr>
          <w:rFonts w:hint="eastAsia" w:ascii="仿宋_GB2312" w:hAnsi="Times New Roman" w:eastAsia="仿宋_GB2312" w:cs="Times New Roman"/>
          <w:color w:val="000000"/>
          <w:kern w:val="2"/>
          <w:sz w:val="32"/>
          <w:szCs w:val="32"/>
          <w:lang w:val="en-US" w:eastAsia="zh-CN" w:bidi="ar-SA"/>
        </w:rPr>
        <w:t>各类疑难复杂案件</w:t>
      </w:r>
      <w:r>
        <w:rPr>
          <w:rFonts w:hint="default" w:ascii="仿宋_GB2312" w:hAnsi="Times New Roman" w:eastAsia="仿宋_GB2312" w:cs="Times New Roman"/>
          <w:color w:val="000000"/>
          <w:kern w:val="2"/>
          <w:sz w:val="32"/>
          <w:szCs w:val="32"/>
          <w:lang w:val="en-US" w:eastAsia="zh-CN" w:bidi="ar-SA"/>
        </w:rPr>
        <w:t>听证</w:t>
      </w:r>
      <w:r>
        <w:rPr>
          <w:rFonts w:hint="eastAsia" w:ascii="仿宋_GB2312" w:hAnsi="Times New Roman" w:eastAsia="仿宋_GB2312" w:cs="Times New Roman"/>
          <w:color w:val="000000"/>
          <w:kern w:val="2"/>
          <w:sz w:val="32"/>
          <w:szCs w:val="32"/>
          <w:lang w:val="en-US" w:eastAsia="zh-CN" w:bidi="ar-SA"/>
        </w:rPr>
        <w:t>活动24场次，听取</w:t>
      </w:r>
      <w:r>
        <w:rPr>
          <w:rFonts w:hint="eastAsia" w:ascii="仿宋_GB2312" w:hAnsi="Times New Roman" w:eastAsia="仿宋_GB2312" w:cs="Times New Roman"/>
          <w:color w:val="000000"/>
          <w:kern w:val="2"/>
          <w:sz w:val="32"/>
          <w:szCs w:val="32"/>
          <w:lang w:val="zh-CN" w:eastAsia="zh-CN" w:bidi="ar-SA"/>
        </w:rPr>
        <w:t>代表关于检察机关开展认罪认罚工作的意见建议，</w:t>
      </w:r>
      <w:r>
        <w:rPr>
          <w:rFonts w:hint="eastAsia" w:ascii="仿宋_GB2312" w:hAnsi="Times New Roman" w:eastAsia="仿宋_GB2312" w:cs="Times New Roman"/>
          <w:color w:val="000000"/>
          <w:kern w:val="2"/>
          <w:sz w:val="32"/>
          <w:szCs w:val="32"/>
          <w:lang w:val="en-US" w:eastAsia="zh-CN" w:bidi="ar-SA"/>
        </w:rPr>
        <w:t>充分保障了人民群众对检察工作的知情权、参与权、表达权和监督权。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zh-CN" w:eastAsia="zh-CN" w:bidi="ar-SA"/>
        </w:rPr>
      </w:pPr>
      <w:r>
        <w:rPr>
          <w:rFonts w:hint="eastAsia" w:ascii="仿宋_GB2312" w:hAnsi="仿宋_GB2312" w:eastAsia="仿宋_GB2312" w:cs="仿宋_GB2312"/>
          <w:b/>
          <w:bCs/>
          <w:color w:val="000000"/>
          <w:kern w:val="2"/>
          <w:sz w:val="32"/>
          <w:szCs w:val="32"/>
          <w:lang w:val="en-US" w:eastAsia="zh-CN" w:bidi="ar-SA"/>
        </w:rPr>
        <w:t>三是完善内部监督机制。</w:t>
      </w:r>
      <w:r>
        <w:rPr>
          <w:rFonts w:hint="eastAsia" w:ascii="仿宋_GB2312" w:hAnsi="Times New Roman" w:eastAsia="仿宋_GB2312" w:cs="Times New Roman"/>
          <w:color w:val="000000"/>
          <w:kern w:val="2"/>
          <w:sz w:val="32"/>
          <w:szCs w:val="32"/>
          <w:lang w:val="zh-CN" w:eastAsia="zh-CN" w:bidi="ar-SA"/>
        </w:rPr>
        <w:t>严</w:t>
      </w:r>
      <w:r>
        <w:rPr>
          <w:rFonts w:hint="eastAsia" w:ascii="仿宋_GB2312" w:hAnsi="Times New Roman" w:eastAsia="仿宋_GB2312" w:cs="Times New Roman"/>
          <w:color w:val="000000"/>
          <w:kern w:val="2"/>
          <w:sz w:val="32"/>
          <w:szCs w:val="32"/>
          <w:lang w:val="en-US" w:eastAsia="zh-CN" w:bidi="ar-SA"/>
        </w:rPr>
        <w:t>格落实最高检《办理认罪认罚案件监督管理办法》，确保检察权行使的规范化。</w:t>
      </w:r>
      <w:r>
        <w:rPr>
          <w:rFonts w:hint="eastAsia" w:ascii="仿宋_GB2312" w:hAnsi="Times New Roman" w:eastAsia="仿宋_GB2312" w:cs="Times New Roman"/>
          <w:color w:val="000000"/>
          <w:kern w:val="2"/>
          <w:sz w:val="32"/>
          <w:szCs w:val="32"/>
          <w:lang w:val="zh-CN" w:eastAsia="zh-CN" w:bidi="ar-SA"/>
        </w:rPr>
        <w:t>常态化开展案件评查，强化评查结果在检察官业绩考核中的运用。贯彻《检察机关文明用语规则》，明确提审讯问文明用语和禁止用语，确保检察人员规范讯问。统一认罪认罚具结书、讯问笔录模板，明确注意事项，进一步规范办案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eastAsia="zh-CN"/>
        </w:rPr>
      </w:pPr>
      <w:r>
        <w:rPr>
          <w:rFonts w:hint="eastAsia" w:ascii="黑体" w:hAnsi="黑体" w:eastAsia="黑体" w:cs="Times New Roman"/>
          <w:color w:val="000000"/>
          <w:sz w:val="32"/>
          <w:szCs w:val="32"/>
          <w:lang w:eastAsia="zh-CN"/>
        </w:rPr>
        <w:t>二、</w:t>
      </w:r>
      <w:r>
        <w:rPr>
          <w:rFonts w:hint="eastAsia" w:ascii="黑体" w:hAnsi="黑体" w:eastAsia="黑体" w:cs="Times New Roman"/>
          <w:color w:val="000000"/>
          <w:sz w:val="32"/>
          <w:szCs w:val="32"/>
        </w:rPr>
        <w:t>认罪认罚从宽制度</w:t>
      </w:r>
      <w:r>
        <w:rPr>
          <w:rFonts w:hint="eastAsia" w:ascii="黑体" w:hAnsi="黑体" w:eastAsia="黑体" w:cs="Times New Roman"/>
          <w:color w:val="000000"/>
          <w:sz w:val="32"/>
          <w:szCs w:val="32"/>
          <w:lang w:eastAsia="zh-CN"/>
        </w:rPr>
        <w:t>实施中存在的困难与问题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作为一项推行不久的办案制度，我院在具体司法实践中虽然取得一些成效，但也面临一些问题和困难：</w:t>
      </w:r>
    </w:p>
    <w:p>
      <w:pPr>
        <w:pStyle w:val="2"/>
        <w:keepNext w:val="0"/>
        <w:keepLines w:val="0"/>
        <w:pageBreakBefore w:val="0"/>
        <w:kinsoku/>
        <w:wordWrap/>
        <w:overflowPunct/>
        <w:topLinePunct w:val="0"/>
        <w:autoSpaceDE/>
        <w:autoSpaceDN/>
        <w:bidi w:val="0"/>
        <w:adjustRightInd/>
        <w:spacing w:after="0" w:afterLines="0" w:line="560" w:lineRule="exact"/>
        <w:ind w:left="0" w:leftChars="0" w:firstLine="640" w:firstLineChars="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一是对认罪认罚从宽制度内涵和功效的理解有待提高。</w:t>
      </w:r>
      <w:r>
        <w:rPr>
          <w:rFonts w:hint="eastAsia" w:ascii="仿宋_GB2312" w:hAnsi="Times New Roman" w:eastAsia="仿宋_GB2312" w:cs="Times New Roman"/>
          <w:color w:val="000000"/>
          <w:kern w:val="2"/>
          <w:sz w:val="32"/>
          <w:szCs w:val="32"/>
          <w:lang w:val="en-US" w:eastAsia="zh-CN" w:bidi="ar-SA"/>
        </w:rPr>
        <w:t>实践中，存在因部分办案人员对认罪认罚制度内涵未能理解透彻，导致程序适用不规范、认定事实证据不精准等问题。在案多人少的现状下，存在部分办案人员对认罪认罚制度不理解，产生消极抵触情绪，认为适用认罪认罚增加工作量，引导、宣教工作不到位，从而影响了认罪认罚制度推行的速度以及适用的效果。同时，制度适用存在不均衡现象，办案人员对“认罪”“认罚”认定缺乏统一判断标准，对“宽严适度”标准把握不一，存在要么一味追求认罪认罚率，认定“如实供述”“愿意接受处罚”尺度过宽；要么办案粗糙，对于仅部分认罪的人员一律不适用认罪认罚制度。另外，提出幅度刑较多，精准量刑建议较少。</w:t>
      </w:r>
    </w:p>
    <w:p>
      <w:pPr>
        <w:pStyle w:val="2"/>
        <w:keepNext w:val="0"/>
        <w:keepLines w:val="0"/>
        <w:pageBreakBefore w:val="0"/>
        <w:kinsoku/>
        <w:wordWrap/>
        <w:overflowPunct/>
        <w:topLinePunct w:val="0"/>
        <w:autoSpaceDE/>
        <w:autoSpaceDN/>
        <w:bidi w:val="0"/>
        <w:adjustRightInd/>
        <w:spacing w:after="0" w:afterLines="0" w:line="560" w:lineRule="exact"/>
        <w:ind w:left="0" w:leftChars="0" w:firstLine="640" w:firstLineChars="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二是各部门联动协同机制有待加强。</w:t>
      </w:r>
      <w:r>
        <w:rPr>
          <w:rFonts w:hint="eastAsia" w:ascii="仿宋_GB2312" w:hAnsi="Times New Roman" w:eastAsia="仿宋_GB2312" w:cs="Times New Roman"/>
          <w:color w:val="000000"/>
          <w:kern w:val="2"/>
          <w:sz w:val="32"/>
          <w:szCs w:val="32"/>
          <w:lang w:val="en-US" w:eastAsia="zh-CN" w:bidi="ar-SA"/>
        </w:rPr>
        <w:t>认罪认罚从宽制度贯穿刑事诉讼各阶段全过程，涉及检察机关和监察、审判、公安、司法行政等多部门。多部门之间因缺乏常态化的沟通机制以及受部分考核指标的约束，侦查机关存在主动适用认罪认罚制度积极性不高情况，法官与检察官则主要体现在疑难复杂案件中对于量刑的分歧。另外，疑难复杂案件中，因未能提前阅卷，值班律师在认罪认罚从宽制度中的作用有限，未能真正实现“量刑协商”，对案件提出实质性意见、有效法律帮助较少，更多</w:t>
      </w:r>
      <w:r>
        <w:rPr>
          <w:rFonts w:hint="eastAsia" w:ascii="仿宋_GB2312" w:eastAsia="仿宋_GB2312" w:cs="Times New Roman"/>
          <w:color w:val="000000"/>
          <w:kern w:val="2"/>
          <w:sz w:val="32"/>
          <w:szCs w:val="32"/>
          <w:lang w:val="en-US" w:eastAsia="zh-CN" w:bidi="ar-SA"/>
        </w:rPr>
        <w:t>只是</w:t>
      </w:r>
      <w:r>
        <w:rPr>
          <w:rFonts w:hint="eastAsia" w:ascii="仿宋_GB2312" w:hAnsi="Times New Roman" w:eastAsia="仿宋_GB2312" w:cs="Times New Roman"/>
          <w:color w:val="000000"/>
          <w:kern w:val="2"/>
          <w:sz w:val="32"/>
          <w:szCs w:val="32"/>
          <w:lang w:val="en-US" w:eastAsia="zh-CN" w:bidi="ar-SA"/>
        </w:rPr>
        <w:t>起到“见证人”的作用。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三是办案质效仍有待提升。</w:t>
      </w:r>
      <w:r>
        <w:rPr>
          <w:rFonts w:hint="eastAsia" w:ascii="仿宋_GB2312" w:hAnsi="Times New Roman" w:eastAsia="仿宋_GB2312" w:cs="Times New Roman"/>
          <w:color w:val="000000"/>
          <w:kern w:val="2"/>
          <w:sz w:val="32"/>
          <w:szCs w:val="32"/>
          <w:lang w:val="en-US" w:eastAsia="zh-CN" w:bidi="ar-SA"/>
        </w:rPr>
        <w:t>适用认罪认罚从宽制度的被告人在获判后仍存在不服量刑上诉的情况。虽有部分上诉的被告人是为了避免送监执行，上诉仅为了“留所服刑”，有部分上诉的被告人是了解到“上诉不加刑”原则，上诉存在投机心理，搏减轻刑罚，但大部分上诉的被告人仍然是对认罪认罚从宽处理机制理解不透，对个案刑事法律规定理解不准确，根本原因还是在于办案人员运用认罪认罚从宽制度办理疑难、复杂、新型案件能力不足，释法说理工作不够，提出量刑建议的程序不规范，对量刑把握不准，办案质效不高。</w:t>
      </w:r>
    </w:p>
    <w:p>
      <w:pPr>
        <w:pStyle w:val="2"/>
        <w:keepNext w:val="0"/>
        <w:keepLines w:val="0"/>
        <w:pageBreakBefore w:val="0"/>
        <w:numPr>
          <w:ilvl w:val="0"/>
          <w:numId w:val="1"/>
        </w:numPr>
        <w:kinsoku/>
        <w:wordWrap/>
        <w:overflowPunct/>
        <w:topLinePunct w:val="0"/>
        <w:autoSpaceDE/>
        <w:autoSpaceDN/>
        <w:bidi w:val="0"/>
        <w:adjustRightInd/>
        <w:spacing w:after="0" w:afterLines="0" w:line="560" w:lineRule="exact"/>
        <w:ind w:left="0" w:leftChars="0" w:firstLine="640" w:firstLineChars="200"/>
        <w:textAlignment w:val="auto"/>
        <w:rPr>
          <w:rFonts w:hint="eastAsia" w:ascii="楷体_GB2312" w:hAnsi="楷体_GB2312" w:eastAsia="楷体_GB2312" w:cs="楷体_GB2312"/>
          <w:color w:val="000000"/>
          <w:kern w:val="2"/>
          <w:sz w:val="32"/>
          <w:szCs w:val="32"/>
          <w:lang w:val="en-US" w:eastAsia="zh-CN" w:bidi="ar-SA"/>
        </w:rPr>
      </w:pPr>
      <w:r>
        <w:rPr>
          <w:rFonts w:hint="eastAsia" w:ascii="黑体" w:hAnsi="黑体" w:eastAsia="黑体" w:cs="黑体"/>
          <w:b w:val="0"/>
          <w:bCs w:val="0"/>
          <w:color w:val="000000"/>
          <w:sz w:val="32"/>
          <w:szCs w:val="32"/>
        </w:rPr>
        <w:t>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下一步，我院将</w:t>
      </w:r>
      <w:r>
        <w:rPr>
          <w:rFonts w:hint="eastAsia" w:ascii="仿宋_GB2312" w:eastAsia="仿宋_GB2312" w:cs="Times New Roman"/>
          <w:color w:val="000000"/>
          <w:kern w:val="2"/>
          <w:sz w:val="32"/>
          <w:szCs w:val="32"/>
          <w:lang w:val="en-US" w:eastAsia="zh-CN" w:bidi="ar-SA"/>
        </w:rPr>
        <w:t>深入学习习近平总书记全面依法治国新理念新思想新战略，全面贯彻宽严相济刑事政策，让认罪认罚从宽制度更好服务经济社会发展。</w:t>
      </w:r>
    </w:p>
    <w:p>
      <w:pPr>
        <w:pStyle w:val="2"/>
        <w:keepNext w:val="0"/>
        <w:keepLines w:val="0"/>
        <w:pageBreakBefore w:val="0"/>
        <w:kinsoku/>
        <w:wordWrap/>
        <w:overflowPunct/>
        <w:topLinePunct w:val="0"/>
        <w:autoSpaceDE/>
        <w:autoSpaceDN/>
        <w:bidi w:val="0"/>
        <w:adjustRightInd/>
        <w:spacing w:after="0" w:afterLines="0" w:line="560" w:lineRule="exact"/>
        <w:textAlignment w:val="auto"/>
        <w:rPr>
          <w:rFonts w:hint="eastAsia"/>
          <w:color w:val="000000"/>
          <w:lang w:val="en-US" w:eastAsia="zh-CN"/>
        </w:rPr>
      </w:pPr>
      <w:r>
        <w:rPr>
          <w:rFonts w:hint="eastAsia" w:ascii="仿宋_GB2312" w:eastAsia="仿宋_GB2312" w:cs="Times New Roman"/>
          <w:b/>
          <w:bCs/>
          <w:color w:val="000000"/>
          <w:kern w:val="2"/>
          <w:sz w:val="32"/>
          <w:szCs w:val="32"/>
          <w:lang w:val="en-US" w:eastAsia="zh-CN" w:bidi="ar-SA"/>
        </w:rPr>
        <w:t>一是持续强化政治责任，全力维护社会和谐稳定。</w:t>
      </w:r>
      <w:r>
        <w:rPr>
          <w:rFonts w:hint="eastAsia" w:ascii="仿宋_GB2312" w:eastAsia="仿宋_GB2312" w:cs="Times New Roman"/>
          <w:color w:val="000000"/>
          <w:kern w:val="2"/>
          <w:sz w:val="32"/>
          <w:szCs w:val="32"/>
          <w:lang w:val="en-US" w:eastAsia="zh-CN" w:bidi="ar-SA"/>
        </w:rPr>
        <w:t>进一步提高政治站位，强化政治担当，坚持党对检察工作的绝对领导，旗帜鲜明走中国特色社会主义法治道路。</w:t>
      </w:r>
      <w:r>
        <w:rPr>
          <w:rFonts w:hint="eastAsia" w:ascii="仿宋_GB2312" w:hAnsi="Times New Roman" w:eastAsia="仿宋_GB2312" w:cs="Times New Roman"/>
          <w:color w:val="000000"/>
          <w:kern w:val="2"/>
          <w:sz w:val="32"/>
          <w:szCs w:val="32"/>
          <w:lang w:val="en-US" w:eastAsia="zh-CN" w:bidi="ar-SA"/>
        </w:rPr>
        <w:t>着力破解问题难点，强化部门联动协调，严格执行制度规范，切实提升办案质效，推动认罪认罚制度可用尽用、用准用好。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二是有序推进重罪案件适用认罪认罚从宽制度。</w:t>
      </w:r>
      <w:r>
        <w:rPr>
          <w:rFonts w:hint="eastAsia" w:ascii="仿宋_GB2312" w:hAnsi="Times New Roman" w:eastAsia="仿宋_GB2312" w:cs="Times New Roman"/>
          <w:color w:val="000000"/>
          <w:kern w:val="2"/>
          <w:sz w:val="32"/>
          <w:szCs w:val="32"/>
          <w:lang w:val="en-US" w:eastAsia="zh-CN" w:bidi="ar-SA"/>
        </w:rPr>
        <w:t>针对目前认罪认罚轻罪案件一般从简从宽办理，对严重危害国家安全、公共安全犯罪，严重暴力犯罪等重罪案件依法从严惩治的现状，在下一步工作中，将积极探索数额特别巨大经济犯罪等重罪案件的适用力度。同时，注重认罪认罚从宽制度与企业合规制度的衔接工作，针对涉及经济犯罪的民营企业，结合办案实际，督促企业作出合规承诺并积极整改落实，实现企业依法合规经营，达到减少和预防企业犯罪的目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三是探索建立控辩协商过程同步录音录像制度。</w:t>
      </w:r>
      <w:r>
        <w:rPr>
          <w:rFonts w:hint="eastAsia" w:ascii="仿宋_GB2312" w:hAnsi="Times New Roman" w:eastAsia="仿宋_GB2312" w:cs="Times New Roman"/>
          <w:color w:val="000000"/>
          <w:kern w:val="2"/>
          <w:sz w:val="32"/>
          <w:szCs w:val="32"/>
          <w:lang w:val="en-US" w:eastAsia="zh-CN" w:bidi="ar-SA"/>
        </w:rPr>
        <w:t>我院办理的刑事案件体量大、种类多，具有探索建立控辩协商同步录音录像制度的天然优势。依托现已</w:t>
      </w:r>
      <w:r>
        <w:rPr>
          <w:rFonts w:hint="default" w:ascii="仿宋_GB2312" w:hAnsi="Times New Roman" w:eastAsia="仿宋_GB2312" w:cs="Times New Roman"/>
          <w:color w:val="000000"/>
          <w:kern w:val="2"/>
          <w:sz w:val="32"/>
          <w:szCs w:val="32"/>
          <w:lang w:val="en-US" w:eastAsia="zh-CN" w:bidi="ar-SA"/>
        </w:rPr>
        <w:t>建成</w:t>
      </w:r>
      <w:r>
        <w:rPr>
          <w:rFonts w:hint="eastAsia" w:ascii="仿宋_GB2312" w:hAnsi="Times New Roman" w:eastAsia="仿宋_GB2312" w:cs="Times New Roman"/>
          <w:color w:val="000000"/>
          <w:kern w:val="2"/>
          <w:sz w:val="32"/>
          <w:szCs w:val="32"/>
          <w:lang w:val="en-US" w:eastAsia="zh-CN" w:bidi="ar-SA"/>
        </w:rPr>
        <w:t>的视频审讯</w:t>
      </w:r>
      <w:r>
        <w:rPr>
          <w:rFonts w:hint="default" w:ascii="仿宋_GB2312" w:hAnsi="Times New Roman" w:eastAsia="仿宋_GB2312" w:cs="Times New Roman"/>
          <w:color w:val="000000"/>
          <w:kern w:val="2"/>
          <w:sz w:val="32"/>
          <w:szCs w:val="32"/>
          <w:lang w:val="en-US" w:eastAsia="zh-CN" w:bidi="ar-SA"/>
        </w:rPr>
        <w:t>室，</w:t>
      </w:r>
      <w:r>
        <w:rPr>
          <w:rFonts w:hint="eastAsia" w:ascii="仿宋_GB2312" w:hAnsi="Times New Roman" w:eastAsia="仿宋_GB2312" w:cs="Times New Roman"/>
          <w:color w:val="000000"/>
          <w:kern w:val="2"/>
          <w:sz w:val="32"/>
          <w:szCs w:val="32"/>
          <w:lang w:val="en-US" w:eastAsia="zh-CN" w:bidi="ar-SA"/>
        </w:rPr>
        <w:t>下一步将试行全程同步录音录像，将具结过程进行真实记录，一方面有效保障犯罪嫌疑人、被告人自愿认罪认罚的真实性，另一方面将同步录音录像专项保存，实现控辩协商环节全程记录、全程留痕备查，提高控辩协商的透明度和公信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四是持续完善认罪认罚案件抗诉标准。</w:t>
      </w:r>
      <w:r>
        <w:rPr>
          <w:rFonts w:hint="eastAsia" w:ascii="仿宋_GB2312" w:hAnsi="Times New Roman" w:eastAsia="仿宋_GB2312" w:cs="Times New Roman"/>
          <w:color w:val="000000"/>
          <w:kern w:val="2"/>
          <w:sz w:val="32"/>
          <w:szCs w:val="32"/>
          <w:lang w:val="en-US" w:eastAsia="zh-CN" w:bidi="ar-SA"/>
        </w:rPr>
        <w:t>认罪认罚虽可依法从宽处理，但不是一味从宽。我们将更加注意甄别真诚认罪悔罪与虚假认罪认罚，特别是针对认罪认罚案件的“投机型”上诉情况，及时与法院、看守所进行沟通，建立独立台账与快速送达渠道，审查上诉理由，确定抗诉标准，区分不同情形，保障检察机关抗诉权的适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五是强化与其他司法机关协作配合。</w:t>
      </w:r>
      <w:r>
        <w:rPr>
          <w:rFonts w:hint="eastAsia" w:ascii="仿宋_GB2312" w:hAnsi="Times New Roman" w:eastAsia="仿宋_GB2312" w:cs="Times New Roman"/>
          <w:color w:val="000000"/>
          <w:kern w:val="2"/>
          <w:sz w:val="32"/>
          <w:szCs w:val="32"/>
          <w:lang w:val="en-US" w:eastAsia="zh-CN" w:bidi="ar-SA"/>
        </w:rPr>
        <w:t>协同侦查机关、审判机关确保认罪认罚从宽制度应用尽用。在审查逮捕环节，注重做好犯罪嫌疑人的释法教育工作，引导侦查机关全面收集证据，为后期认罪认罚工作开展奠定基础。在审查起诉环节，切实承担前连侦查、后接审判的责任，主动做好诉侦、诉审衔接。</w:t>
      </w:r>
      <w:r>
        <w:rPr>
          <w:rFonts w:hint="eastAsia" w:ascii="仿宋_GB2312" w:hAnsi="仿宋_GB2312" w:eastAsia="仿宋_GB2312" w:cs="仿宋_GB2312"/>
          <w:color w:val="000000"/>
          <w:sz w:val="32"/>
          <w:szCs w:val="32"/>
          <w:lang w:eastAsia="zh-CN"/>
        </w:rPr>
        <w:t>发挥认罪认罚的从宽带动作用，将认罪认罚从宽制度全方位体现于司法救助、社区矫正等工作，加大刑事和解力度，做好社会矛盾化解。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六是加强确定刑量刑建议运用。</w:t>
      </w:r>
      <w:r>
        <w:rPr>
          <w:rFonts w:hint="eastAsia" w:ascii="仿宋_GB2312" w:hAnsi="仿宋_GB2312" w:eastAsia="仿宋_GB2312" w:cs="仿宋_GB2312"/>
          <w:color w:val="000000"/>
          <w:sz w:val="32"/>
          <w:szCs w:val="32"/>
          <w:lang w:eastAsia="zh-CN"/>
        </w:rPr>
        <w:t>贯彻落实</w:t>
      </w:r>
      <w:r>
        <w:rPr>
          <w:rFonts w:hint="eastAsia" w:ascii="仿宋_GB2312" w:hAnsi="Times New Roman" w:eastAsia="仿宋_GB2312" w:cs="Times New Roman"/>
          <w:color w:val="000000"/>
          <w:kern w:val="2"/>
          <w:sz w:val="32"/>
          <w:szCs w:val="32"/>
          <w:lang w:val="en-US" w:eastAsia="zh-CN" w:bidi="ar-SA"/>
        </w:rPr>
        <w:t>“两高三部”联合印发的《关于规范量刑程序若干问题的意见》和“两高”《关于常见犯罪的量刑指导意见（试行）》，在此基础上与区法院建立认罪认罚案件量刑协作机制，推广应用智能辅助系统，细化同类案件、常见罪名量刑参考，用好类案检索，规范量刑建议的提出、变更、调整程序和标准，形成检法共同遵循的量刑规则。注重发挥检察官联席会的会商咨询和部门负责人、检察长的把关作用，确保量刑建议尺度的同一性，实现量刑均衡，同案同判。强化量刑说理指导工作，结合实际案情，对认罪认罚教育、量刑协商过程逐案留痕，科学推进确定刑量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七是着力打造过硬办案队伍。</w:t>
      </w:r>
      <w:r>
        <w:rPr>
          <w:rFonts w:hint="eastAsia" w:ascii="仿宋_GB2312" w:hAnsi="Times New Roman" w:eastAsia="仿宋_GB2312" w:cs="Times New Roman"/>
          <w:color w:val="000000"/>
          <w:kern w:val="2"/>
          <w:sz w:val="32"/>
          <w:szCs w:val="32"/>
          <w:lang w:val="en-US" w:eastAsia="zh-CN" w:bidi="ar-SA"/>
        </w:rPr>
        <w:t>坚持把坚定理想信念作为检察队伍的灵魂工程，深入学习习近平法治思想，自觉用党的理论武装头脑，坚定正确的政治方向，不断提升干警的政治素养；用好区检察院自主教育培训体系，依托“罗检大讲堂”等平台，采用“外聘专家教学+院内经验交流”的模式，全方位提升检察人员量刑建议、沟通协调、释法说理、化解矛盾等综合能力。</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color w:val="000000"/>
          <w:lang w:val="en-US" w:eastAsia="zh-CN"/>
        </w:rPr>
      </w:pPr>
      <w:r>
        <w:rPr>
          <w:rFonts w:hint="eastAsia" w:ascii="仿宋_GB2312" w:hAnsi="仿宋_GB2312" w:eastAsia="仿宋_GB2312" w:cs="仿宋_GB2312"/>
          <w:b/>
          <w:bCs/>
          <w:color w:val="000000"/>
          <w:kern w:val="2"/>
          <w:sz w:val="32"/>
          <w:szCs w:val="32"/>
          <w:lang w:val="en-US" w:eastAsia="zh-CN" w:bidi="ar-SA"/>
        </w:rPr>
        <w:t>八是强化内外部监督制约。</w:t>
      </w:r>
      <w:r>
        <w:rPr>
          <w:rFonts w:hint="eastAsia" w:ascii="仿宋_GB2312" w:hAnsi="仿宋_GB2312" w:eastAsia="仿宋_GB2312" w:cs="仿宋_GB2312"/>
          <w:color w:val="000000"/>
          <w:kern w:val="2"/>
          <w:sz w:val="32"/>
          <w:szCs w:val="32"/>
          <w:lang w:val="en-US" w:eastAsia="zh-CN" w:bidi="ar-SA"/>
        </w:rPr>
        <w:t>严格执行“三个规定”记录报告制度，坚决防止徇私枉法、权钱交易，坚决防止人情案、关系案、金钱案；认真落实“阳光司法”工作要求，积极邀请人大代表、政协委员、人民监督员、司法监督员、特约检察员等参加公开听证、检察开放日等活动，配合区人大及其常委会的执法检查、案件评查、专题调研，以更开放的姿态接受外部监督。</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九是加大普法宣传力度。</w:t>
      </w:r>
      <w:r>
        <w:rPr>
          <w:rFonts w:hint="eastAsia" w:ascii="仿宋_GB2312" w:hAnsi="Times New Roman" w:eastAsia="仿宋_GB2312" w:cs="Times New Roman"/>
          <w:color w:val="000000"/>
          <w:kern w:val="2"/>
          <w:sz w:val="32"/>
          <w:szCs w:val="32"/>
          <w:lang w:val="zh-CN" w:eastAsia="zh-CN" w:bidi="ar-SA"/>
        </w:rPr>
        <w:t>认真落实“谁执法谁普法”责任制，</w:t>
      </w:r>
      <w:r>
        <w:rPr>
          <w:rFonts w:hint="eastAsia" w:ascii="仿宋_GB2312" w:hAnsi="Times New Roman" w:eastAsia="仿宋_GB2312" w:cs="Times New Roman"/>
          <w:color w:val="000000"/>
          <w:kern w:val="2"/>
          <w:sz w:val="32"/>
          <w:szCs w:val="32"/>
          <w:lang w:val="en-US" w:eastAsia="zh-CN" w:bidi="ar-SA"/>
        </w:rPr>
        <w:t>针对在押人员，选取辖区内办理的认罪认罚典型案例，制作主题动漫宣传片，在监管场所播放，把认罪认罚制度讲述得更加浅显易懂接地气，切实发挥正面引导和警示教育作用，感召犯罪嫌疑人、被告人自愿认罪认罚。针对社会公众，</w:t>
      </w:r>
      <w:r>
        <w:rPr>
          <w:rFonts w:hint="eastAsia" w:ascii="仿宋_GB2312" w:hAnsi="Times New Roman" w:eastAsia="仿宋_GB2312" w:cs="Times New Roman"/>
          <w:color w:val="000000"/>
          <w:kern w:val="2"/>
          <w:sz w:val="32"/>
          <w:szCs w:val="32"/>
          <w:lang w:val="zh-CN" w:eastAsia="zh-CN" w:bidi="ar-SA"/>
        </w:rPr>
        <w:t>组织检察官进街道、进社区，</w:t>
      </w:r>
      <w:r>
        <w:rPr>
          <w:rFonts w:hint="eastAsia" w:ascii="仿宋_GB2312" w:hAnsi="Times New Roman" w:eastAsia="仿宋_GB2312" w:cs="Times New Roman"/>
          <w:color w:val="000000"/>
          <w:kern w:val="2"/>
          <w:sz w:val="32"/>
          <w:szCs w:val="32"/>
          <w:lang w:val="en-US" w:eastAsia="zh-CN" w:bidi="ar-SA"/>
        </w:rPr>
        <w:t>以传统媒体与新兴媒介相结合模式，多途径同步开展宣传教育，进一步扩大认罪认罚从宽制度社会认同感。</w:t>
      </w:r>
    </w:p>
    <w:p>
      <w:pPr>
        <w:pStyle w:val="2"/>
        <w:keepNext w:val="0"/>
        <w:keepLines w:val="0"/>
        <w:pageBreakBefore w:val="0"/>
        <w:kinsoku/>
        <w:wordWrap/>
        <w:overflowPunct/>
        <w:topLinePunct w:val="0"/>
        <w:autoSpaceDE/>
        <w:autoSpaceDN/>
        <w:bidi w:val="0"/>
        <w:adjustRightInd/>
        <w:spacing w:after="0" w:afterLines="0" w:line="560" w:lineRule="exact"/>
        <w:textAlignment w:val="auto"/>
        <w:rPr>
          <w:rFonts w:hint="eastAsia"/>
          <w:color w:val="000000"/>
          <w:lang w:val="en-US" w:eastAsia="zh-CN"/>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特别说明：本报告所涉及案例和数据，统计区间为</w:t>
      </w:r>
      <w:r>
        <w:rPr>
          <w:rFonts w:hint="eastAsia" w:ascii="楷体" w:hAnsi="楷体" w:eastAsia="楷体" w:cs="楷体"/>
          <w:color w:val="000000"/>
          <w:sz w:val="32"/>
          <w:szCs w:val="32"/>
          <w:lang w:val="en-US" w:eastAsia="zh-CN"/>
        </w:rPr>
        <w:t>2016年10月1日至2021年9月30日。</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黑体" w:eastAsia="方正小标宋简体" w:cs="方正小标宋简体"/>
          <w:color w:val="000000"/>
          <w:sz w:val="44"/>
          <w:szCs w:val="44"/>
        </w:rPr>
      </w:pPr>
      <w:r>
        <w:rPr>
          <w:rFonts w:hint="eastAsia" w:ascii="方正小标宋简体" w:hAnsi="黑体" w:eastAsia="方正小标宋简体" w:cs="方正小标宋简体"/>
          <w:color w:val="000000"/>
          <w:sz w:val="44"/>
          <w:szCs w:val="44"/>
        </w:rPr>
        <w:t>术语说明</w:t>
      </w:r>
    </w:p>
    <w:p>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黑体" w:hAnsi="黑体" w:eastAsia="黑体" w:cs="黑体"/>
          <w:b w:val="0"/>
          <w:bCs/>
          <w:color w:val="000000"/>
          <w:sz w:val="32"/>
          <w:szCs w:val="32"/>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sz w:val="32"/>
          <w:szCs w:val="32"/>
          <w:lang w:val="en-US" w:eastAsia="zh-CN"/>
        </w:rPr>
        <w:t>1</w:t>
      </w:r>
      <w:r>
        <w:rPr>
          <w:rFonts w:hint="eastAsia" w:ascii="黑体" w:hAnsi="黑体" w:eastAsia="黑体"/>
          <w:color w:val="000000"/>
          <w:sz w:val="32"/>
          <w:szCs w:val="32"/>
          <w:lang w:val="en-US" w:eastAsia="zh-CN"/>
        </w:rPr>
        <w:t>.</w:t>
      </w:r>
      <w:r>
        <w:rPr>
          <w:rFonts w:hint="eastAsia" w:ascii="黑体" w:hAnsi="黑体" w:eastAsia="黑体" w:cs="Times New Roman"/>
          <w:color w:val="000000"/>
          <w:sz w:val="32"/>
          <w:szCs w:val="32"/>
          <w:lang w:val="en-US" w:eastAsia="zh-CN"/>
        </w:rPr>
        <w:t>认罪认罚从宽制度</w:t>
      </w:r>
      <w:r>
        <w:rPr>
          <w:rFonts w:hint="eastAsia" w:ascii="黑体" w:hAnsi="黑体" w:eastAsia="黑体"/>
          <w:color w:val="000000"/>
          <w:sz w:val="32"/>
          <w:szCs w:val="32"/>
          <w:lang w:val="en-US" w:eastAsia="zh-CN"/>
        </w:rPr>
        <w:t>——</w:t>
      </w:r>
      <w:r>
        <w:rPr>
          <w:rFonts w:hint="eastAsia" w:ascii="仿宋_GB2312" w:hAnsi="仿宋_GB2312" w:eastAsia="仿宋_GB2312" w:cs="仿宋_GB2312"/>
          <w:color w:val="000000"/>
          <w:kern w:val="0"/>
          <w:sz w:val="32"/>
          <w:szCs w:val="32"/>
          <w:lang w:val="en-US" w:eastAsia="zh-CN" w:bidi="ar-SA"/>
        </w:rPr>
        <w:t>认</w:t>
      </w:r>
      <w:bookmarkStart w:id="4" w:name="_GoBack"/>
      <w:bookmarkEnd w:id="4"/>
      <w:r>
        <w:rPr>
          <w:rFonts w:hint="eastAsia" w:ascii="仿宋_GB2312" w:hAnsi="仿宋_GB2312" w:eastAsia="仿宋_GB2312" w:cs="仿宋_GB2312"/>
          <w:color w:val="000000"/>
          <w:kern w:val="0"/>
          <w:sz w:val="32"/>
          <w:szCs w:val="32"/>
          <w:lang w:val="en-US" w:eastAsia="zh-CN" w:bidi="ar-SA"/>
        </w:rPr>
        <w:t>罪认罚从宽制度指犯罪嫌疑人、被告人自愿如实供述自己的罪行，承认指控的犯罪事实，愿意接受处罚的，可以依法从宽处理。</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sz w:val="32"/>
          <w:szCs w:val="32"/>
          <w:lang w:val="en-US" w:eastAsia="zh-CN"/>
        </w:rPr>
        <w:t>2</w:t>
      </w:r>
      <w:r>
        <w:rPr>
          <w:rFonts w:hint="eastAsia" w:ascii="黑体" w:hAnsi="黑体" w:eastAsia="黑体"/>
          <w:color w:val="000000"/>
          <w:sz w:val="32"/>
          <w:szCs w:val="32"/>
          <w:lang w:val="en-US" w:eastAsia="zh-CN"/>
        </w:rPr>
        <w:t>.</w:t>
      </w:r>
      <w:r>
        <w:rPr>
          <w:rFonts w:hint="eastAsia" w:ascii="黑体" w:hAnsi="黑体" w:eastAsia="黑体" w:cs="Times New Roman"/>
          <w:color w:val="000000"/>
          <w:sz w:val="32"/>
          <w:szCs w:val="32"/>
          <w:lang w:val="en-US" w:eastAsia="zh-CN"/>
        </w:rPr>
        <w:t>认罪——</w:t>
      </w:r>
      <w:r>
        <w:rPr>
          <w:rFonts w:hint="eastAsia" w:ascii="仿宋_GB2312" w:hAnsi="仿宋_GB2312" w:eastAsia="仿宋_GB2312" w:cs="仿宋_GB2312"/>
          <w:color w:val="000000"/>
          <w:kern w:val="0"/>
          <w:sz w:val="32"/>
          <w:szCs w:val="32"/>
          <w:lang w:val="en-US" w:eastAsia="zh-CN" w:bidi="ar-SA"/>
        </w:rPr>
        <w:t>指犯罪嫌疑人、被告人自愿如实供述自己的罪行，对指控的犯罪事实没有异议。</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sz w:val="32"/>
          <w:szCs w:val="32"/>
          <w:lang w:val="en-US" w:eastAsia="zh-CN"/>
        </w:rPr>
        <w:t>3</w:t>
      </w:r>
      <w:r>
        <w:rPr>
          <w:rFonts w:hint="eastAsia" w:ascii="黑体" w:hAnsi="黑体" w:eastAsia="黑体"/>
          <w:color w:val="000000"/>
          <w:sz w:val="32"/>
          <w:szCs w:val="32"/>
          <w:lang w:val="en-US" w:eastAsia="zh-CN"/>
        </w:rPr>
        <w:t>.</w:t>
      </w:r>
      <w:r>
        <w:rPr>
          <w:rFonts w:hint="eastAsia" w:ascii="黑体" w:hAnsi="黑体" w:eastAsia="黑体" w:cs="Times New Roman"/>
          <w:color w:val="000000"/>
          <w:sz w:val="32"/>
          <w:szCs w:val="32"/>
          <w:lang w:val="en-US" w:eastAsia="zh-CN"/>
        </w:rPr>
        <w:t>认罚——</w:t>
      </w:r>
      <w:r>
        <w:rPr>
          <w:rFonts w:hint="eastAsia" w:ascii="仿宋_GB2312" w:hAnsi="仿宋_GB2312" w:eastAsia="仿宋_GB2312" w:cs="仿宋_GB2312"/>
          <w:color w:val="000000"/>
          <w:kern w:val="0"/>
          <w:sz w:val="32"/>
          <w:szCs w:val="32"/>
          <w:lang w:val="en-US" w:eastAsia="zh-CN" w:bidi="ar-SA"/>
        </w:rPr>
        <w:t>指犯罪嫌疑人、被告人真诚悔罪，愿意接受处罚。</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sz w:val="32"/>
          <w:szCs w:val="32"/>
          <w:lang w:val="en-US" w:eastAsia="zh-CN"/>
        </w:rPr>
        <w:t>4</w:t>
      </w:r>
      <w:r>
        <w:rPr>
          <w:rFonts w:hint="eastAsia" w:ascii="黑体" w:hAnsi="黑体" w:eastAsia="黑体"/>
          <w:color w:val="000000"/>
          <w:sz w:val="32"/>
          <w:szCs w:val="32"/>
          <w:lang w:val="en-US" w:eastAsia="zh-CN"/>
        </w:rPr>
        <w:t>.</w:t>
      </w:r>
      <w:r>
        <w:rPr>
          <w:rFonts w:hint="eastAsia" w:ascii="黑体" w:hAnsi="黑体" w:eastAsia="黑体" w:cs="Times New Roman"/>
          <w:color w:val="000000"/>
          <w:sz w:val="32"/>
          <w:szCs w:val="32"/>
          <w:lang w:val="en-US" w:eastAsia="zh-CN"/>
        </w:rPr>
        <w:t>从宽处理——</w:t>
      </w:r>
      <w:r>
        <w:rPr>
          <w:rFonts w:hint="eastAsia" w:ascii="仿宋_GB2312" w:hAnsi="仿宋_GB2312" w:eastAsia="仿宋_GB2312" w:cs="仿宋_GB2312"/>
          <w:color w:val="000000"/>
          <w:kern w:val="0"/>
          <w:sz w:val="32"/>
          <w:szCs w:val="32"/>
          <w:lang w:val="en-US" w:eastAsia="zh-CN" w:bidi="ar-SA"/>
        </w:rPr>
        <w:t>包括实体上从宽处罚和程序上从简处理。</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sz w:val="32"/>
          <w:szCs w:val="32"/>
          <w:lang w:val="en-US" w:eastAsia="zh-CN"/>
        </w:rPr>
        <w:t>5</w:t>
      </w:r>
      <w:r>
        <w:rPr>
          <w:rFonts w:hint="eastAsia" w:ascii="黑体" w:hAnsi="黑体" w:eastAsia="黑体"/>
          <w:color w:val="000000"/>
          <w:sz w:val="32"/>
          <w:szCs w:val="32"/>
          <w:lang w:val="en-US" w:eastAsia="zh-CN"/>
        </w:rPr>
        <w:t>.</w:t>
      </w:r>
      <w:r>
        <w:rPr>
          <w:rFonts w:hint="eastAsia" w:ascii="黑体" w:hAnsi="黑体" w:eastAsia="黑体" w:cs="Times New Roman"/>
          <w:color w:val="000000"/>
          <w:sz w:val="32"/>
          <w:szCs w:val="32"/>
          <w:lang w:val="en-US" w:eastAsia="zh-CN"/>
        </w:rPr>
        <w:t>部分认罪——</w:t>
      </w:r>
      <w:r>
        <w:rPr>
          <w:rFonts w:hint="eastAsia" w:ascii="仿宋_GB2312" w:hAnsi="仿宋_GB2312" w:eastAsia="仿宋_GB2312" w:cs="仿宋_GB2312"/>
          <w:color w:val="000000"/>
          <w:kern w:val="0"/>
          <w:sz w:val="32"/>
          <w:szCs w:val="32"/>
          <w:lang w:val="en-US" w:eastAsia="zh-CN" w:bidi="ar-SA"/>
        </w:rPr>
        <w:t>对犯数罪仅认部分罪的，虽然全案不适用认罪认罚从宽制度，但在其认罪的范围内，体现宽严相济，可以给予从宽处理；对共同犯罪中部分被追诉人如实供述、承认指控犯罪事实的，对此部分被追诉人应当认定为“认罪”，可以从宽处理。</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6.</w:t>
      </w:r>
      <w:r>
        <w:rPr>
          <w:rFonts w:hint="eastAsia" w:ascii="黑体" w:hAnsi="黑体" w:eastAsia="黑体" w:cs="Times New Roman"/>
          <w:color w:val="000000"/>
          <w:sz w:val="32"/>
          <w:szCs w:val="32"/>
          <w:lang w:val="en-US" w:eastAsia="zh-CN"/>
        </w:rPr>
        <w:t>“量刑建议”——</w:t>
      </w:r>
      <w:r>
        <w:rPr>
          <w:rFonts w:hint="eastAsia" w:ascii="仿宋_GB2312" w:hAnsi="仿宋_GB2312" w:eastAsia="仿宋_GB2312" w:cs="仿宋_GB2312"/>
          <w:color w:val="000000"/>
          <w:kern w:val="0"/>
          <w:sz w:val="32"/>
          <w:szCs w:val="32"/>
          <w:lang w:val="en-US" w:eastAsia="zh-CN" w:bidi="ar-SA"/>
        </w:rPr>
        <w:t>指人民检察院对提起公诉的被告人向人民法院提出应判处刑罚种类和刑期的建议。根据刑事诉讼法规定，犯罪嫌疑人认罪认罚的，人民检察院应当就主刑、附加刑、是否适用缓刑等提出量刑建议。</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7.</w:t>
      </w:r>
      <w:r>
        <w:rPr>
          <w:rFonts w:hint="eastAsia" w:ascii="黑体" w:hAnsi="黑体" w:eastAsia="黑体" w:cs="Times New Roman"/>
          <w:color w:val="000000"/>
          <w:sz w:val="32"/>
          <w:szCs w:val="32"/>
          <w:lang w:val="en-US" w:eastAsia="zh-CN"/>
        </w:rPr>
        <w:t>“量刑协商”——</w:t>
      </w:r>
      <w:r>
        <w:rPr>
          <w:rFonts w:hint="eastAsia" w:ascii="仿宋_GB2312" w:hAnsi="仿宋_GB2312" w:eastAsia="仿宋_GB2312" w:cs="仿宋_GB2312"/>
          <w:color w:val="000000"/>
          <w:kern w:val="0"/>
          <w:sz w:val="32"/>
          <w:szCs w:val="32"/>
          <w:lang w:val="en-US" w:eastAsia="zh-CN" w:bidi="ar-SA"/>
        </w:rPr>
        <w:t>指对犯罪嫌疑人认罪认罚的，人民检察院在提出量刑建议前，充分听取犯罪嫌疑人、辩护人或者值班律师的意见，进行沟通协商的活动。</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8.检察意见</w:t>
      </w:r>
      <w:r>
        <w:rPr>
          <w:rFonts w:hint="eastAsia" w:ascii="黑体" w:hAnsi="黑体" w:eastAsia="黑体" w:cs="Times New Roman"/>
          <w:color w:val="000000"/>
          <w:sz w:val="32"/>
          <w:szCs w:val="32"/>
          <w:lang w:val="en-US" w:eastAsia="zh-CN"/>
        </w:rPr>
        <w:t>——</w:t>
      </w:r>
      <w:r>
        <w:rPr>
          <w:rFonts w:hint="eastAsia" w:ascii="仿宋_GB2312" w:hAnsi="仿宋_GB2312" w:eastAsia="仿宋_GB2312" w:cs="仿宋_GB2312"/>
          <w:color w:val="000000"/>
          <w:kern w:val="0"/>
          <w:sz w:val="32"/>
          <w:szCs w:val="32"/>
          <w:lang w:val="en-US" w:eastAsia="zh-CN" w:bidi="ar-SA"/>
        </w:rPr>
        <w:t>对被不起诉人需要给予行政处罚、处分或者需要没收其违法所得的，人民检察院应当提出检察意见，移送有关主管机关处理。有关主管机关应当将处理结果及时通知人民检察院。</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9.</w:t>
      </w:r>
      <w:r>
        <w:rPr>
          <w:rFonts w:hint="eastAsia" w:ascii="黑体" w:hAnsi="黑体" w:eastAsia="黑体" w:cs="Times New Roman"/>
          <w:color w:val="000000"/>
          <w:sz w:val="32"/>
          <w:szCs w:val="32"/>
          <w:lang w:val="en-US" w:eastAsia="zh-CN"/>
        </w:rPr>
        <w:t>速裁程序——</w:t>
      </w:r>
      <w:r>
        <w:rPr>
          <w:rFonts w:hint="eastAsia" w:ascii="仿宋_GB2312" w:hAnsi="仿宋_GB2312" w:eastAsia="仿宋_GB2312" w:cs="仿宋_GB2312"/>
          <w:color w:val="000000"/>
          <w:kern w:val="0"/>
          <w:sz w:val="32"/>
          <w:szCs w:val="32"/>
          <w:lang w:val="en-US" w:eastAsia="zh-CN" w:bidi="ar-SA"/>
        </w:rPr>
        <w:t>基层人民法院管辖的可能判处三年有期徒刑以下刑罚的案件，案件事实清楚，证据确实、充分，被告人认罪认罚并同意适用速裁程序的，可以适用速裁程序，由审判员一人独任审判。</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"http://143.3.140.231:8082/" \l "/detail/chl/javascript:void(0);"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end"/>
      </w:r>
      <w:bookmarkStart w:id="0" w:name="tiao_222_kuan_2"/>
      <w:bookmarkEnd w:id="0"/>
      <w:r>
        <w:rPr>
          <w:rFonts w:hint="eastAsia" w:ascii="仿宋_GB2312" w:hAnsi="仿宋_GB2312" w:eastAsia="仿宋_GB2312" w:cs="仿宋_GB2312"/>
          <w:color w:val="000000"/>
          <w:kern w:val="0"/>
          <w:sz w:val="32"/>
          <w:szCs w:val="32"/>
          <w:lang w:val="en-US" w:eastAsia="zh-CN" w:bidi="ar-SA"/>
        </w:rPr>
        <w:t>人民检察院在提起公诉的时候，可以建议人民法院适用速裁程序。</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10.</w:t>
      </w:r>
      <w:r>
        <w:rPr>
          <w:rFonts w:hint="eastAsia" w:ascii="黑体" w:hAnsi="黑体" w:eastAsia="黑体" w:cs="Times New Roman"/>
          <w:color w:val="000000"/>
          <w:sz w:val="32"/>
          <w:szCs w:val="32"/>
          <w:lang w:val="en-US" w:eastAsia="zh-CN"/>
        </w:rPr>
        <w:t>简易程序——</w:t>
      </w:r>
      <w:r>
        <w:rPr>
          <w:rFonts w:hint="eastAsia" w:ascii="仿宋_GB2312" w:hAnsi="仿宋_GB2312" w:eastAsia="仿宋_GB2312" w:cs="仿宋_GB2312"/>
          <w:color w:val="000000"/>
          <w:kern w:val="0"/>
          <w:sz w:val="32"/>
          <w:szCs w:val="32"/>
          <w:lang w:val="en-US" w:eastAsia="zh-CN" w:bidi="ar-SA"/>
        </w:rPr>
        <w:t>符合下列条件的，可以适用简易程序审判：</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"http://143.3.140.231:8082/" \l "/detail/chl/javascript:void(0);"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end"/>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仿宋_GB2312" w:hAnsi="仿宋_GB2312" w:eastAsia="仿宋_GB2312" w:cs="仿宋_GB2312"/>
          <w:color w:val="000000"/>
          <w:kern w:val="0"/>
          <w:sz w:val="32"/>
          <w:szCs w:val="32"/>
          <w:lang w:val="en-US" w:eastAsia="zh-CN" w:bidi="ar-SA"/>
        </w:rPr>
      </w:pPr>
      <w:bookmarkStart w:id="1" w:name="tiao_214_kuan_1_xiang_1"/>
      <w:bookmarkEnd w:id="1"/>
      <w:r>
        <w:rPr>
          <w:rFonts w:hint="eastAsia" w:ascii="仿宋_GB2312" w:hAnsi="仿宋_GB2312" w:eastAsia="仿宋_GB2312" w:cs="仿宋_GB2312"/>
          <w:color w:val="000000"/>
          <w:kern w:val="0"/>
          <w:sz w:val="32"/>
          <w:szCs w:val="32"/>
          <w:lang w:val="en-US" w:eastAsia="zh-CN" w:bidi="ar-SA"/>
        </w:rPr>
        <w:t>（一）案件事实清楚、证据充分的；</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"http://143.3.140.231:8082/" \l "/detail/chl/javascript:void(0);"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end"/>
      </w:r>
      <w:bookmarkStart w:id="2" w:name="tiao_214_kuan_1_xiang_2"/>
      <w:bookmarkEnd w:id="2"/>
      <w:r>
        <w:rPr>
          <w:rFonts w:hint="eastAsia" w:ascii="仿宋_GB2312" w:hAnsi="仿宋_GB2312" w:eastAsia="仿宋_GB2312" w:cs="仿宋_GB2312"/>
          <w:color w:val="000000"/>
          <w:kern w:val="0"/>
          <w:sz w:val="32"/>
          <w:szCs w:val="32"/>
          <w:lang w:val="en-US" w:eastAsia="zh-CN" w:bidi="ar-SA"/>
        </w:rPr>
        <w:t>（二）被告人承认自己所犯罪行，对指控的犯罪事实没有异议的；</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"http://143.3.140.231:8082/" \l "/detail/chl/javascript:void(0);"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end"/>
      </w:r>
      <w:bookmarkStart w:id="3" w:name="tiao_214_kuan_1_xiang_3"/>
      <w:bookmarkEnd w:id="3"/>
      <w:r>
        <w:rPr>
          <w:rFonts w:hint="eastAsia" w:ascii="仿宋_GB2312" w:hAnsi="仿宋_GB2312" w:eastAsia="仿宋_GB2312" w:cs="仿宋_GB2312"/>
          <w:color w:val="000000"/>
          <w:kern w:val="0"/>
          <w:sz w:val="32"/>
          <w:szCs w:val="32"/>
          <w:lang w:val="en-US" w:eastAsia="zh-CN" w:bidi="ar-SA"/>
        </w:rPr>
        <w:t>（三）被告人对适用简易程序没有异议的。</w:t>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"http://143.3.140.231:8082/" \l "/detail/chl/javascript:void(0);"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end"/>
      </w:r>
      <w:r>
        <w:rPr>
          <w:rFonts w:hint="eastAsia" w:ascii="仿宋_GB2312" w:hAnsi="仿宋_GB2312" w:eastAsia="仿宋_GB2312" w:cs="仿宋_GB2312"/>
          <w:color w:val="000000"/>
          <w:kern w:val="0"/>
          <w:sz w:val="32"/>
          <w:szCs w:val="32"/>
          <w:lang w:val="en-US" w:eastAsia="zh-CN" w:bidi="ar-SA"/>
        </w:rPr>
        <w:t>人民检察院在提起公诉的时候，可以建议人民法院适用简易程序。</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11.</w:t>
      </w:r>
      <w:r>
        <w:rPr>
          <w:rFonts w:hint="eastAsia" w:ascii="黑体" w:hAnsi="黑体" w:eastAsia="黑体" w:cs="Times New Roman"/>
          <w:color w:val="000000"/>
          <w:sz w:val="32"/>
          <w:szCs w:val="32"/>
          <w:lang w:val="en-US" w:eastAsia="zh-CN"/>
        </w:rPr>
        <w:t>“裁量从宽”模式——</w:t>
      </w:r>
      <w:r>
        <w:rPr>
          <w:rFonts w:hint="eastAsia" w:ascii="仿宋_GB2312" w:hAnsi="仿宋_GB2312" w:eastAsia="仿宋_GB2312" w:cs="仿宋_GB2312"/>
          <w:color w:val="000000"/>
          <w:kern w:val="0"/>
          <w:sz w:val="32"/>
          <w:szCs w:val="32"/>
          <w:lang w:val="en-US" w:eastAsia="zh-CN" w:bidi="ar-SA"/>
        </w:rPr>
        <w:t>即公权力机关基于从宽的刑事政策和相关法律规定对具有自首、立功、坦白、当庭认罪认罚、悔罪等情节的被追诉人综合案件各方面决定予以宽大处理。例如撤销案件、不起诉或者从轻、减轻、免除处罚等。</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黑体" w:hAnsi="黑体" w:eastAsia="黑体"/>
          <w:color w:val="000000"/>
          <w:sz w:val="32"/>
          <w:szCs w:val="32"/>
          <w:lang w:val="en-US" w:eastAsia="zh-CN"/>
        </w:rPr>
        <w:t>12.企业刑事合规——</w:t>
      </w:r>
      <w:r>
        <w:rPr>
          <w:rFonts w:hint="eastAsia" w:ascii="仿宋_GB2312" w:hAnsi="仿宋_GB2312" w:eastAsia="仿宋_GB2312" w:cs="仿宋_GB2312"/>
          <w:color w:val="000000"/>
          <w:kern w:val="0"/>
          <w:sz w:val="32"/>
          <w:szCs w:val="32"/>
          <w:lang w:val="en-US" w:eastAsia="zh-CN" w:bidi="ar-SA"/>
        </w:rPr>
        <w:t>指检察机关在办理涉民企经济犯罪案件的过程中，发现涉案企业在财务管理、安全生产、税收缴纳方面存在刑事风险点的，从有利于企业长远发展、避免社会公共利益受损的角度，主动延伸检察职能，向涉案企业提出加强刑事合规管理的建议，助力企业建立健全刑事合规体系，完善内部管理机制。对积极建立健全刑事合规体系，具有从轻、减轻处罚情节且认罪认罚的涉案企业，检察机关可以依法从宽处理。</w:t>
      </w:r>
    </w:p>
    <w:p>
      <w:pPr>
        <w:pStyle w:val="8"/>
        <w:keepNext w:val="0"/>
        <w:keepLines w:val="0"/>
        <w:pageBreakBefore w:val="0"/>
        <w:widowControl w:val="0"/>
        <w:numPr>
          <w:ilvl w:val="0"/>
          <w:numId w:val="0"/>
        </w:numPr>
        <w:kinsoku/>
        <w:wordWrap/>
        <w:overflowPunct/>
        <w:topLinePunct w:val="0"/>
        <w:autoSpaceDE/>
        <w:autoSpaceDN/>
        <w:bidi w:val="0"/>
        <w:adjustRightInd/>
        <w:spacing w:line="540" w:lineRule="exact"/>
        <w:ind w:firstLine="960" w:firstLineChars="300"/>
        <w:textAlignment w:val="auto"/>
        <w:rPr>
          <w:rFonts w:hint="default" w:ascii="仿宋_GB2312" w:hAnsi="仿宋_GB2312" w:eastAsia="仿宋_GB2312" w:cs="仿宋_GB2312"/>
          <w:color w:val="000000"/>
          <w:kern w:val="0"/>
          <w:sz w:val="32"/>
          <w:szCs w:val="32"/>
          <w:lang w:val="en-US" w:eastAsia="zh-CN" w:bidi="ar-SA"/>
        </w:rPr>
      </w:pPr>
    </w:p>
    <w:sectPr>
      <w:footerReference r:id="rId5" w:type="default"/>
      <w:footerReference r:id="rId6" w:type="even"/>
      <w:pgSz w:w="11906" w:h="16838"/>
      <w:pgMar w:top="1814" w:right="1474" w:bottom="1814"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8"/>
                              <w:sz w:val="28"/>
                              <w:szCs w:val="28"/>
                            </w:rPr>
                          </w:pP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- 5 -</w:t>
                          </w:r>
                          <w:r>
                            <w:rPr>
                              <w:rStyle w:val="18"/>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Style w:val="18"/>
                        <w:sz w:val="28"/>
                        <w:szCs w:val="28"/>
                      </w:rPr>
                    </w:pP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- 5 -</w:t>
                    </w:r>
                    <w:r>
                      <w:rPr>
                        <w:rStyle w:val="18"/>
                        <w:sz w:val="28"/>
                        <w:szCs w:val="2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5F312"/>
    <w:multiLevelType w:val="singleLevel"/>
    <w:tmpl w:val="75E5F312"/>
    <w:lvl w:ilvl="0" w:tentative="0">
      <w:start w:val="3"/>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8A"/>
    <w:rsid w:val="0000175F"/>
    <w:rsid w:val="00002C7F"/>
    <w:rsid w:val="000229BC"/>
    <w:rsid w:val="00026EA6"/>
    <w:rsid w:val="00042D58"/>
    <w:rsid w:val="000470B1"/>
    <w:rsid w:val="00053F79"/>
    <w:rsid w:val="00055880"/>
    <w:rsid w:val="0006118B"/>
    <w:rsid w:val="00061958"/>
    <w:rsid w:val="00067939"/>
    <w:rsid w:val="000764D3"/>
    <w:rsid w:val="0008329B"/>
    <w:rsid w:val="00083300"/>
    <w:rsid w:val="0008396F"/>
    <w:rsid w:val="00097BF7"/>
    <w:rsid w:val="000A1DDB"/>
    <w:rsid w:val="000A2B19"/>
    <w:rsid w:val="000A700D"/>
    <w:rsid w:val="000C0676"/>
    <w:rsid w:val="000D36EE"/>
    <w:rsid w:val="000D53C4"/>
    <w:rsid w:val="000D5953"/>
    <w:rsid w:val="000F6346"/>
    <w:rsid w:val="000F6A88"/>
    <w:rsid w:val="00102023"/>
    <w:rsid w:val="0012346F"/>
    <w:rsid w:val="00134854"/>
    <w:rsid w:val="00134CA8"/>
    <w:rsid w:val="001370B8"/>
    <w:rsid w:val="001437AB"/>
    <w:rsid w:val="00147C54"/>
    <w:rsid w:val="0015620D"/>
    <w:rsid w:val="00156B27"/>
    <w:rsid w:val="00157236"/>
    <w:rsid w:val="00157742"/>
    <w:rsid w:val="001611E8"/>
    <w:rsid w:val="001657B3"/>
    <w:rsid w:val="00170E49"/>
    <w:rsid w:val="00173D7B"/>
    <w:rsid w:val="0017576F"/>
    <w:rsid w:val="00175826"/>
    <w:rsid w:val="001823AE"/>
    <w:rsid w:val="00190BD0"/>
    <w:rsid w:val="00190EDA"/>
    <w:rsid w:val="001925B1"/>
    <w:rsid w:val="001A0433"/>
    <w:rsid w:val="001A7DC5"/>
    <w:rsid w:val="001B0DDB"/>
    <w:rsid w:val="001B14AE"/>
    <w:rsid w:val="001B72F9"/>
    <w:rsid w:val="001C7F67"/>
    <w:rsid w:val="001D1BB8"/>
    <w:rsid w:val="001D1BE6"/>
    <w:rsid w:val="001D7E6A"/>
    <w:rsid w:val="001E152F"/>
    <w:rsid w:val="001E48DA"/>
    <w:rsid w:val="001F0A60"/>
    <w:rsid w:val="0020175F"/>
    <w:rsid w:val="00202ED7"/>
    <w:rsid w:val="002067C0"/>
    <w:rsid w:val="00220130"/>
    <w:rsid w:val="00227980"/>
    <w:rsid w:val="00242C3B"/>
    <w:rsid w:val="0024375B"/>
    <w:rsid w:val="00250980"/>
    <w:rsid w:val="00253D9C"/>
    <w:rsid w:val="00257686"/>
    <w:rsid w:val="002602D4"/>
    <w:rsid w:val="0026152D"/>
    <w:rsid w:val="0026320E"/>
    <w:rsid w:val="00264281"/>
    <w:rsid w:val="00272572"/>
    <w:rsid w:val="00276733"/>
    <w:rsid w:val="0028700B"/>
    <w:rsid w:val="002870F5"/>
    <w:rsid w:val="00294E8A"/>
    <w:rsid w:val="00297B14"/>
    <w:rsid w:val="002A1945"/>
    <w:rsid w:val="002A36AA"/>
    <w:rsid w:val="002B46A7"/>
    <w:rsid w:val="002B4D87"/>
    <w:rsid w:val="002B567B"/>
    <w:rsid w:val="002C573E"/>
    <w:rsid w:val="002C6C2F"/>
    <w:rsid w:val="002D061A"/>
    <w:rsid w:val="002E0EDE"/>
    <w:rsid w:val="002E2747"/>
    <w:rsid w:val="002E61D5"/>
    <w:rsid w:val="002E6923"/>
    <w:rsid w:val="00301297"/>
    <w:rsid w:val="00317069"/>
    <w:rsid w:val="0034006A"/>
    <w:rsid w:val="0035424A"/>
    <w:rsid w:val="003544A4"/>
    <w:rsid w:val="00354746"/>
    <w:rsid w:val="00355079"/>
    <w:rsid w:val="0036085F"/>
    <w:rsid w:val="00365050"/>
    <w:rsid w:val="00377670"/>
    <w:rsid w:val="00377796"/>
    <w:rsid w:val="00382AEA"/>
    <w:rsid w:val="00382F9C"/>
    <w:rsid w:val="003838F8"/>
    <w:rsid w:val="00386A94"/>
    <w:rsid w:val="00387534"/>
    <w:rsid w:val="003A3B23"/>
    <w:rsid w:val="003B1D77"/>
    <w:rsid w:val="003B692D"/>
    <w:rsid w:val="003B73BA"/>
    <w:rsid w:val="003C3535"/>
    <w:rsid w:val="003C38DA"/>
    <w:rsid w:val="003D257B"/>
    <w:rsid w:val="003E3A67"/>
    <w:rsid w:val="00403728"/>
    <w:rsid w:val="00404895"/>
    <w:rsid w:val="0040542A"/>
    <w:rsid w:val="004243DD"/>
    <w:rsid w:val="00433979"/>
    <w:rsid w:val="00442D86"/>
    <w:rsid w:val="00454FC6"/>
    <w:rsid w:val="0045583F"/>
    <w:rsid w:val="00465DE5"/>
    <w:rsid w:val="004739C5"/>
    <w:rsid w:val="004B34D8"/>
    <w:rsid w:val="004B3DB7"/>
    <w:rsid w:val="004C294F"/>
    <w:rsid w:val="004C439A"/>
    <w:rsid w:val="004C77EF"/>
    <w:rsid w:val="004D29AA"/>
    <w:rsid w:val="004E26EB"/>
    <w:rsid w:val="005055F5"/>
    <w:rsid w:val="00507DFB"/>
    <w:rsid w:val="00510E11"/>
    <w:rsid w:val="00517E5F"/>
    <w:rsid w:val="0052082B"/>
    <w:rsid w:val="005306EB"/>
    <w:rsid w:val="00530C71"/>
    <w:rsid w:val="00536ECA"/>
    <w:rsid w:val="0054375F"/>
    <w:rsid w:val="005451AB"/>
    <w:rsid w:val="0054553D"/>
    <w:rsid w:val="0055608E"/>
    <w:rsid w:val="00560DBA"/>
    <w:rsid w:val="005620CC"/>
    <w:rsid w:val="00576032"/>
    <w:rsid w:val="005763DE"/>
    <w:rsid w:val="00584B49"/>
    <w:rsid w:val="005859AB"/>
    <w:rsid w:val="0058612F"/>
    <w:rsid w:val="005940F3"/>
    <w:rsid w:val="00596DC5"/>
    <w:rsid w:val="005A4949"/>
    <w:rsid w:val="005A56BC"/>
    <w:rsid w:val="005A6427"/>
    <w:rsid w:val="005B0986"/>
    <w:rsid w:val="005B408A"/>
    <w:rsid w:val="005B7F38"/>
    <w:rsid w:val="005C23DA"/>
    <w:rsid w:val="005C6AF2"/>
    <w:rsid w:val="005D3C03"/>
    <w:rsid w:val="005D44A2"/>
    <w:rsid w:val="005D546E"/>
    <w:rsid w:val="005D75B9"/>
    <w:rsid w:val="006062F7"/>
    <w:rsid w:val="006144BE"/>
    <w:rsid w:val="006155A1"/>
    <w:rsid w:val="00617BA0"/>
    <w:rsid w:val="00623781"/>
    <w:rsid w:val="00627E3F"/>
    <w:rsid w:val="0063096C"/>
    <w:rsid w:val="00633EAA"/>
    <w:rsid w:val="006419A0"/>
    <w:rsid w:val="0064543E"/>
    <w:rsid w:val="006556F2"/>
    <w:rsid w:val="0066213F"/>
    <w:rsid w:val="00677DAF"/>
    <w:rsid w:val="00693AEC"/>
    <w:rsid w:val="006A0AB6"/>
    <w:rsid w:val="006A1779"/>
    <w:rsid w:val="006A33D4"/>
    <w:rsid w:val="006C5D73"/>
    <w:rsid w:val="006D5420"/>
    <w:rsid w:val="006D6080"/>
    <w:rsid w:val="006D7D02"/>
    <w:rsid w:val="006E089F"/>
    <w:rsid w:val="006E22DE"/>
    <w:rsid w:val="006F378E"/>
    <w:rsid w:val="00700121"/>
    <w:rsid w:val="007035B0"/>
    <w:rsid w:val="00711B58"/>
    <w:rsid w:val="00713842"/>
    <w:rsid w:val="00723061"/>
    <w:rsid w:val="007235B7"/>
    <w:rsid w:val="0072375A"/>
    <w:rsid w:val="00724F90"/>
    <w:rsid w:val="00727D63"/>
    <w:rsid w:val="00732D67"/>
    <w:rsid w:val="00733B50"/>
    <w:rsid w:val="00734CB9"/>
    <w:rsid w:val="00743C23"/>
    <w:rsid w:val="00754954"/>
    <w:rsid w:val="00761FD5"/>
    <w:rsid w:val="00764F53"/>
    <w:rsid w:val="00784A99"/>
    <w:rsid w:val="00785802"/>
    <w:rsid w:val="00787C0E"/>
    <w:rsid w:val="007905D0"/>
    <w:rsid w:val="007A1B68"/>
    <w:rsid w:val="007C6546"/>
    <w:rsid w:val="007E1B42"/>
    <w:rsid w:val="007E58DE"/>
    <w:rsid w:val="007E736B"/>
    <w:rsid w:val="0080762D"/>
    <w:rsid w:val="00820E04"/>
    <w:rsid w:val="00822C20"/>
    <w:rsid w:val="0082409C"/>
    <w:rsid w:val="00824704"/>
    <w:rsid w:val="00830E6F"/>
    <w:rsid w:val="00841E36"/>
    <w:rsid w:val="0086381C"/>
    <w:rsid w:val="00866534"/>
    <w:rsid w:val="00871492"/>
    <w:rsid w:val="00877535"/>
    <w:rsid w:val="00877E23"/>
    <w:rsid w:val="00885C2C"/>
    <w:rsid w:val="008879B3"/>
    <w:rsid w:val="00893BBB"/>
    <w:rsid w:val="00896CB2"/>
    <w:rsid w:val="008A02CB"/>
    <w:rsid w:val="008A4D78"/>
    <w:rsid w:val="008B5930"/>
    <w:rsid w:val="008C2DD7"/>
    <w:rsid w:val="008E368E"/>
    <w:rsid w:val="00941E36"/>
    <w:rsid w:val="00947C89"/>
    <w:rsid w:val="00956809"/>
    <w:rsid w:val="00961009"/>
    <w:rsid w:val="00964DBA"/>
    <w:rsid w:val="0097347A"/>
    <w:rsid w:val="009776B0"/>
    <w:rsid w:val="00980FE9"/>
    <w:rsid w:val="0098548B"/>
    <w:rsid w:val="009A43B3"/>
    <w:rsid w:val="009A4938"/>
    <w:rsid w:val="009A6909"/>
    <w:rsid w:val="009C2998"/>
    <w:rsid w:val="009C3AF0"/>
    <w:rsid w:val="009C63D0"/>
    <w:rsid w:val="009D4550"/>
    <w:rsid w:val="009D5ABC"/>
    <w:rsid w:val="009E22D5"/>
    <w:rsid w:val="009E4502"/>
    <w:rsid w:val="009F286A"/>
    <w:rsid w:val="009F3A23"/>
    <w:rsid w:val="009F425E"/>
    <w:rsid w:val="009F79EE"/>
    <w:rsid w:val="00A02AD8"/>
    <w:rsid w:val="00A045B6"/>
    <w:rsid w:val="00A07AAF"/>
    <w:rsid w:val="00A15805"/>
    <w:rsid w:val="00A22E42"/>
    <w:rsid w:val="00A25E5E"/>
    <w:rsid w:val="00A40013"/>
    <w:rsid w:val="00A60718"/>
    <w:rsid w:val="00A64D13"/>
    <w:rsid w:val="00A659E3"/>
    <w:rsid w:val="00A85A42"/>
    <w:rsid w:val="00A9718B"/>
    <w:rsid w:val="00AA0938"/>
    <w:rsid w:val="00AA0C08"/>
    <w:rsid w:val="00AA6EBD"/>
    <w:rsid w:val="00AB425F"/>
    <w:rsid w:val="00AC21D3"/>
    <w:rsid w:val="00AD5288"/>
    <w:rsid w:val="00AE015F"/>
    <w:rsid w:val="00AE051D"/>
    <w:rsid w:val="00AE1705"/>
    <w:rsid w:val="00AE3F47"/>
    <w:rsid w:val="00AE4DC0"/>
    <w:rsid w:val="00AF0D85"/>
    <w:rsid w:val="00AF0F05"/>
    <w:rsid w:val="00AF26E7"/>
    <w:rsid w:val="00AF53EC"/>
    <w:rsid w:val="00AF6A7D"/>
    <w:rsid w:val="00B05B37"/>
    <w:rsid w:val="00B05CB1"/>
    <w:rsid w:val="00B15A2A"/>
    <w:rsid w:val="00B16E1B"/>
    <w:rsid w:val="00B17C4B"/>
    <w:rsid w:val="00B24277"/>
    <w:rsid w:val="00B456FF"/>
    <w:rsid w:val="00B50DA1"/>
    <w:rsid w:val="00B5162D"/>
    <w:rsid w:val="00B63547"/>
    <w:rsid w:val="00B753A5"/>
    <w:rsid w:val="00B778C2"/>
    <w:rsid w:val="00B81828"/>
    <w:rsid w:val="00B917C2"/>
    <w:rsid w:val="00BA5BDD"/>
    <w:rsid w:val="00BB1D8B"/>
    <w:rsid w:val="00BC046D"/>
    <w:rsid w:val="00BC2139"/>
    <w:rsid w:val="00BC35B9"/>
    <w:rsid w:val="00BC688A"/>
    <w:rsid w:val="00BD3497"/>
    <w:rsid w:val="00BD7779"/>
    <w:rsid w:val="00BE4054"/>
    <w:rsid w:val="00BE78C8"/>
    <w:rsid w:val="00BF1F23"/>
    <w:rsid w:val="00BF21E7"/>
    <w:rsid w:val="00C061EA"/>
    <w:rsid w:val="00C24528"/>
    <w:rsid w:val="00C2706C"/>
    <w:rsid w:val="00C27FDA"/>
    <w:rsid w:val="00C305AD"/>
    <w:rsid w:val="00C32C9C"/>
    <w:rsid w:val="00C33D99"/>
    <w:rsid w:val="00C42661"/>
    <w:rsid w:val="00C50444"/>
    <w:rsid w:val="00C51376"/>
    <w:rsid w:val="00C52FF5"/>
    <w:rsid w:val="00C53527"/>
    <w:rsid w:val="00C55644"/>
    <w:rsid w:val="00C6222A"/>
    <w:rsid w:val="00C65689"/>
    <w:rsid w:val="00C75161"/>
    <w:rsid w:val="00C76055"/>
    <w:rsid w:val="00C76A7D"/>
    <w:rsid w:val="00C86142"/>
    <w:rsid w:val="00CA403D"/>
    <w:rsid w:val="00CB098C"/>
    <w:rsid w:val="00CB4C28"/>
    <w:rsid w:val="00CC2EA3"/>
    <w:rsid w:val="00CC3E95"/>
    <w:rsid w:val="00CD105D"/>
    <w:rsid w:val="00CD2DC5"/>
    <w:rsid w:val="00CD33D9"/>
    <w:rsid w:val="00CF4458"/>
    <w:rsid w:val="00CF4C0E"/>
    <w:rsid w:val="00CF5437"/>
    <w:rsid w:val="00D062C8"/>
    <w:rsid w:val="00D10703"/>
    <w:rsid w:val="00D12ED3"/>
    <w:rsid w:val="00D17349"/>
    <w:rsid w:val="00D27F10"/>
    <w:rsid w:val="00D302E4"/>
    <w:rsid w:val="00D33CB7"/>
    <w:rsid w:val="00D34C0C"/>
    <w:rsid w:val="00D423CE"/>
    <w:rsid w:val="00D726BD"/>
    <w:rsid w:val="00D75345"/>
    <w:rsid w:val="00D83211"/>
    <w:rsid w:val="00D8437D"/>
    <w:rsid w:val="00D90E63"/>
    <w:rsid w:val="00D928EC"/>
    <w:rsid w:val="00D940E8"/>
    <w:rsid w:val="00D94CA9"/>
    <w:rsid w:val="00D954F7"/>
    <w:rsid w:val="00D95700"/>
    <w:rsid w:val="00DA3A6C"/>
    <w:rsid w:val="00DA6BC3"/>
    <w:rsid w:val="00DB06D2"/>
    <w:rsid w:val="00DB06F4"/>
    <w:rsid w:val="00DB3CB5"/>
    <w:rsid w:val="00DC0573"/>
    <w:rsid w:val="00DC5674"/>
    <w:rsid w:val="00DD2112"/>
    <w:rsid w:val="00DD27CF"/>
    <w:rsid w:val="00DE7B05"/>
    <w:rsid w:val="00DF5D84"/>
    <w:rsid w:val="00E020FF"/>
    <w:rsid w:val="00E0245C"/>
    <w:rsid w:val="00E15CC8"/>
    <w:rsid w:val="00E21F05"/>
    <w:rsid w:val="00E242EF"/>
    <w:rsid w:val="00E31DFC"/>
    <w:rsid w:val="00E336D9"/>
    <w:rsid w:val="00E3743E"/>
    <w:rsid w:val="00E37BEE"/>
    <w:rsid w:val="00E4354D"/>
    <w:rsid w:val="00E4793F"/>
    <w:rsid w:val="00E51D88"/>
    <w:rsid w:val="00E56A69"/>
    <w:rsid w:val="00E6109A"/>
    <w:rsid w:val="00E6363F"/>
    <w:rsid w:val="00E64204"/>
    <w:rsid w:val="00E6734C"/>
    <w:rsid w:val="00E70623"/>
    <w:rsid w:val="00E812B1"/>
    <w:rsid w:val="00E850ED"/>
    <w:rsid w:val="00E905CF"/>
    <w:rsid w:val="00E91214"/>
    <w:rsid w:val="00E91680"/>
    <w:rsid w:val="00EA3A8C"/>
    <w:rsid w:val="00EA5C32"/>
    <w:rsid w:val="00EA70F8"/>
    <w:rsid w:val="00EB6230"/>
    <w:rsid w:val="00EB6A70"/>
    <w:rsid w:val="00EC2CAE"/>
    <w:rsid w:val="00ED320E"/>
    <w:rsid w:val="00ED5C91"/>
    <w:rsid w:val="00EE26AE"/>
    <w:rsid w:val="00EE2C21"/>
    <w:rsid w:val="00EF57F6"/>
    <w:rsid w:val="00F05B13"/>
    <w:rsid w:val="00F2197B"/>
    <w:rsid w:val="00F26BDA"/>
    <w:rsid w:val="00F35112"/>
    <w:rsid w:val="00F40554"/>
    <w:rsid w:val="00F45209"/>
    <w:rsid w:val="00F45326"/>
    <w:rsid w:val="00F50EF1"/>
    <w:rsid w:val="00F51B8D"/>
    <w:rsid w:val="00F55B47"/>
    <w:rsid w:val="00F6164C"/>
    <w:rsid w:val="00F80946"/>
    <w:rsid w:val="00F90CCB"/>
    <w:rsid w:val="00F92E09"/>
    <w:rsid w:val="00F9377F"/>
    <w:rsid w:val="00F953F8"/>
    <w:rsid w:val="00FA2F18"/>
    <w:rsid w:val="00FA4A84"/>
    <w:rsid w:val="00FB507C"/>
    <w:rsid w:val="00FC6473"/>
    <w:rsid w:val="00FD5C1A"/>
    <w:rsid w:val="00FE24FA"/>
    <w:rsid w:val="00FE6BFC"/>
    <w:rsid w:val="00FF0FBE"/>
    <w:rsid w:val="00FF2BBE"/>
    <w:rsid w:val="00FF4AB5"/>
    <w:rsid w:val="01001B01"/>
    <w:rsid w:val="01017757"/>
    <w:rsid w:val="013C2B2C"/>
    <w:rsid w:val="0163065E"/>
    <w:rsid w:val="01687CF2"/>
    <w:rsid w:val="01833CD9"/>
    <w:rsid w:val="01841A23"/>
    <w:rsid w:val="01A23D84"/>
    <w:rsid w:val="01BE1303"/>
    <w:rsid w:val="01D874AF"/>
    <w:rsid w:val="01E243DB"/>
    <w:rsid w:val="01E45454"/>
    <w:rsid w:val="020370DA"/>
    <w:rsid w:val="023A6BBE"/>
    <w:rsid w:val="02536DB3"/>
    <w:rsid w:val="025373DA"/>
    <w:rsid w:val="02543E30"/>
    <w:rsid w:val="02544710"/>
    <w:rsid w:val="025A0C9B"/>
    <w:rsid w:val="02647795"/>
    <w:rsid w:val="026D2A4F"/>
    <w:rsid w:val="02A81B1E"/>
    <w:rsid w:val="02B25DDB"/>
    <w:rsid w:val="02FD5588"/>
    <w:rsid w:val="02FD57C0"/>
    <w:rsid w:val="0301612E"/>
    <w:rsid w:val="030F6264"/>
    <w:rsid w:val="031B1194"/>
    <w:rsid w:val="03337570"/>
    <w:rsid w:val="033E1363"/>
    <w:rsid w:val="033F0D5A"/>
    <w:rsid w:val="0345636E"/>
    <w:rsid w:val="034A3C8D"/>
    <w:rsid w:val="034E3E6F"/>
    <w:rsid w:val="03571C76"/>
    <w:rsid w:val="03602E17"/>
    <w:rsid w:val="03757618"/>
    <w:rsid w:val="039200FA"/>
    <w:rsid w:val="039359E7"/>
    <w:rsid w:val="039E6154"/>
    <w:rsid w:val="03A96982"/>
    <w:rsid w:val="03B0128D"/>
    <w:rsid w:val="03D939BB"/>
    <w:rsid w:val="03F02A94"/>
    <w:rsid w:val="042A2E03"/>
    <w:rsid w:val="044B637B"/>
    <w:rsid w:val="04556E5A"/>
    <w:rsid w:val="04692046"/>
    <w:rsid w:val="047010F9"/>
    <w:rsid w:val="04737D5A"/>
    <w:rsid w:val="04764258"/>
    <w:rsid w:val="04797547"/>
    <w:rsid w:val="047F15FE"/>
    <w:rsid w:val="048868F3"/>
    <w:rsid w:val="0492216E"/>
    <w:rsid w:val="04941077"/>
    <w:rsid w:val="04AC361D"/>
    <w:rsid w:val="04C049DC"/>
    <w:rsid w:val="04C11E8E"/>
    <w:rsid w:val="04C15343"/>
    <w:rsid w:val="04C20672"/>
    <w:rsid w:val="04CA6F9D"/>
    <w:rsid w:val="05035A0B"/>
    <w:rsid w:val="0518284F"/>
    <w:rsid w:val="053030B0"/>
    <w:rsid w:val="053F5FFC"/>
    <w:rsid w:val="05484E1F"/>
    <w:rsid w:val="05533D71"/>
    <w:rsid w:val="055669AA"/>
    <w:rsid w:val="055F48B5"/>
    <w:rsid w:val="05685012"/>
    <w:rsid w:val="056C1621"/>
    <w:rsid w:val="05A31E07"/>
    <w:rsid w:val="05C71486"/>
    <w:rsid w:val="05D62199"/>
    <w:rsid w:val="05D85B04"/>
    <w:rsid w:val="05E54979"/>
    <w:rsid w:val="0640128B"/>
    <w:rsid w:val="06440298"/>
    <w:rsid w:val="0653180C"/>
    <w:rsid w:val="066A1453"/>
    <w:rsid w:val="066B0F92"/>
    <w:rsid w:val="066F66B0"/>
    <w:rsid w:val="06874AC7"/>
    <w:rsid w:val="06981AFD"/>
    <w:rsid w:val="06BC21F4"/>
    <w:rsid w:val="06D56299"/>
    <w:rsid w:val="06D86BE6"/>
    <w:rsid w:val="06EC0760"/>
    <w:rsid w:val="06EE4B8F"/>
    <w:rsid w:val="072851DA"/>
    <w:rsid w:val="073959C4"/>
    <w:rsid w:val="074D6169"/>
    <w:rsid w:val="07607742"/>
    <w:rsid w:val="077449CD"/>
    <w:rsid w:val="07752B4E"/>
    <w:rsid w:val="07C21FD5"/>
    <w:rsid w:val="07DB08B5"/>
    <w:rsid w:val="07E36F20"/>
    <w:rsid w:val="07F75E33"/>
    <w:rsid w:val="0804392A"/>
    <w:rsid w:val="081968B7"/>
    <w:rsid w:val="082F0C07"/>
    <w:rsid w:val="083E67C0"/>
    <w:rsid w:val="08781711"/>
    <w:rsid w:val="08870661"/>
    <w:rsid w:val="08BA73E5"/>
    <w:rsid w:val="08D63513"/>
    <w:rsid w:val="08D94DC6"/>
    <w:rsid w:val="08F74D8D"/>
    <w:rsid w:val="090B42D0"/>
    <w:rsid w:val="09215C49"/>
    <w:rsid w:val="093364D0"/>
    <w:rsid w:val="093C4524"/>
    <w:rsid w:val="093D78DD"/>
    <w:rsid w:val="095B374B"/>
    <w:rsid w:val="098232D3"/>
    <w:rsid w:val="099E1E92"/>
    <w:rsid w:val="09A33554"/>
    <w:rsid w:val="09B10259"/>
    <w:rsid w:val="09FC606E"/>
    <w:rsid w:val="0A0777C2"/>
    <w:rsid w:val="0A124775"/>
    <w:rsid w:val="0A133FFD"/>
    <w:rsid w:val="0A1D587D"/>
    <w:rsid w:val="0A3E313E"/>
    <w:rsid w:val="0A4B1C54"/>
    <w:rsid w:val="0A803885"/>
    <w:rsid w:val="0A852472"/>
    <w:rsid w:val="0A8C6AF9"/>
    <w:rsid w:val="0AAA0B0D"/>
    <w:rsid w:val="0ACE3C49"/>
    <w:rsid w:val="0ADC0A18"/>
    <w:rsid w:val="0AF16A20"/>
    <w:rsid w:val="0B1A15CF"/>
    <w:rsid w:val="0B1F5611"/>
    <w:rsid w:val="0B236F2D"/>
    <w:rsid w:val="0B3A0117"/>
    <w:rsid w:val="0B4027EE"/>
    <w:rsid w:val="0B42729B"/>
    <w:rsid w:val="0B7A34C4"/>
    <w:rsid w:val="0BB77C9C"/>
    <w:rsid w:val="0BCA3270"/>
    <w:rsid w:val="0BCE1BFD"/>
    <w:rsid w:val="0BF617AE"/>
    <w:rsid w:val="0BFD1268"/>
    <w:rsid w:val="0C066379"/>
    <w:rsid w:val="0C201980"/>
    <w:rsid w:val="0C20511D"/>
    <w:rsid w:val="0C2401ED"/>
    <w:rsid w:val="0C355077"/>
    <w:rsid w:val="0C4707A7"/>
    <w:rsid w:val="0C695463"/>
    <w:rsid w:val="0C755689"/>
    <w:rsid w:val="0C915578"/>
    <w:rsid w:val="0CAC3C99"/>
    <w:rsid w:val="0CC648D6"/>
    <w:rsid w:val="0CE57E0C"/>
    <w:rsid w:val="0CED2928"/>
    <w:rsid w:val="0D0A7A15"/>
    <w:rsid w:val="0D0F4865"/>
    <w:rsid w:val="0D1C18C7"/>
    <w:rsid w:val="0D28319F"/>
    <w:rsid w:val="0D3B2633"/>
    <w:rsid w:val="0D64728E"/>
    <w:rsid w:val="0D65139B"/>
    <w:rsid w:val="0D652E4C"/>
    <w:rsid w:val="0D6B6073"/>
    <w:rsid w:val="0DBE550F"/>
    <w:rsid w:val="0DE41FEA"/>
    <w:rsid w:val="0DED0FE6"/>
    <w:rsid w:val="0E3102B2"/>
    <w:rsid w:val="0E390BB8"/>
    <w:rsid w:val="0E466BD8"/>
    <w:rsid w:val="0E533D0E"/>
    <w:rsid w:val="0E680924"/>
    <w:rsid w:val="0E7B1B7B"/>
    <w:rsid w:val="0EBA5272"/>
    <w:rsid w:val="0EE4332B"/>
    <w:rsid w:val="0EE97DE9"/>
    <w:rsid w:val="0EEB23D4"/>
    <w:rsid w:val="0EF25067"/>
    <w:rsid w:val="0F0A3CD5"/>
    <w:rsid w:val="0F0F762A"/>
    <w:rsid w:val="0F2C0BB5"/>
    <w:rsid w:val="0F2E1B9A"/>
    <w:rsid w:val="0F4805DE"/>
    <w:rsid w:val="0F5A2C4B"/>
    <w:rsid w:val="0F787C17"/>
    <w:rsid w:val="0F8A5455"/>
    <w:rsid w:val="0FA16F2B"/>
    <w:rsid w:val="0FA56ABB"/>
    <w:rsid w:val="0FAD3A29"/>
    <w:rsid w:val="0FC07C5F"/>
    <w:rsid w:val="0FF56AFD"/>
    <w:rsid w:val="10067D03"/>
    <w:rsid w:val="1007451E"/>
    <w:rsid w:val="102D4BCB"/>
    <w:rsid w:val="102F5C52"/>
    <w:rsid w:val="1057350C"/>
    <w:rsid w:val="106E0965"/>
    <w:rsid w:val="107144B7"/>
    <w:rsid w:val="10890BF4"/>
    <w:rsid w:val="10903034"/>
    <w:rsid w:val="109058E2"/>
    <w:rsid w:val="10B84EB2"/>
    <w:rsid w:val="10B97B8F"/>
    <w:rsid w:val="10BC1D1B"/>
    <w:rsid w:val="10BE1EDE"/>
    <w:rsid w:val="10C90682"/>
    <w:rsid w:val="10E7489F"/>
    <w:rsid w:val="10EB44F0"/>
    <w:rsid w:val="10EC3C3A"/>
    <w:rsid w:val="10FE09D8"/>
    <w:rsid w:val="110119F8"/>
    <w:rsid w:val="110143B9"/>
    <w:rsid w:val="111224FA"/>
    <w:rsid w:val="11172AFF"/>
    <w:rsid w:val="113B0A67"/>
    <w:rsid w:val="11514E6C"/>
    <w:rsid w:val="116C7030"/>
    <w:rsid w:val="1196535E"/>
    <w:rsid w:val="119A212D"/>
    <w:rsid w:val="11B535B5"/>
    <w:rsid w:val="11B7341A"/>
    <w:rsid w:val="11C77EFF"/>
    <w:rsid w:val="122D118A"/>
    <w:rsid w:val="123E10A2"/>
    <w:rsid w:val="124060AB"/>
    <w:rsid w:val="12741C34"/>
    <w:rsid w:val="12A5084D"/>
    <w:rsid w:val="12A968C9"/>
    <w:rsid w:val="12B743F4"/>
    <w:rsid w:val="12C76F73"/>
    <w:rsid w:val="12CA57A1"/>
    <w:rsid w:val="12E56716"/>
    <w:rsid w:val="12EC5F5A"/>
    <w:rsid w:val="12F70653"/>
    <w:rsid w:val="12F73E4C"/>
    <w:rsid w:val="12F87125"/>
    <w:rsid w:val="130B22E3"/>
    <w:rsid w:val="1324658E"/>
    <w:rsid w:val="13340F89"/>
    <w:rsid w:val="133D18FD"/>
    <w:rsid w:val="13454307"/>
    <w:rsid w:val="13547439"/>
    <w:rsid w:val="135C5922"/>
    <w:rsid w:val="13A51E16"/>
    <w:rsid w:val="13D8760D"/>
    <w:rsid w:val="13E04547"/>
    <w:rsid w:val="13FC1E29"/>
    <w:rsid w:val="14152B1D"/>
    <w:rsid w:val="141D0BC7"/>
    <w:rsid w:val="1436534E"/>
    <w:rsid w:val="144B10E8"/>
    <w:rsid w:val="14553B61"/>
    <w:rsid w:val="14612577"/>
    <w:rsid w:val="1495732F"/>
    <w:rsid w:val="14A0117E"/>
    <w:rsid w:val="14A1752B"/>
    <w:rsid w:val="14AD2F73"/>
    <w:rsid w:val="14B85C77"/>
    <w:rsid w:val="14BE0A3B"/>
    <w:rsid w:val="14BE0FEC"/>
    <w:rsid w:val="14C33D11"/>
    <w:rsid w:val="14D541FD"/>
    <w:rsid w:val="14FA1414"/>
    <w:rsid w:val="15191C36"/>
    <w:rsid w:val="151A2393"/>
    <w:rsid w:val="15302E2C"/>
    <w:rsid w:val="155C31C7"/>
    <w:rsid w:val="15676B46"/>
    <w:rsid w:val="156D13CC"/>
    <w:rsid w:val="15943272"/>
    <w:rsid w:val="15981F78"/>
    <w:rsid w:val="159E2CA1"/>
    <w:rsid w:val="15B077C4"/>
    <w:rsid w:val="15D5115F"/>
    <w:rsid w:val="161E1224"/>
    <w:rsid w:val="166A4F48"/>
    <w:rsid w:val="167806F6"/>
    <w:rsid w:val="168441DD"/>
    <w:rsid w:val="168B30D3"/>
    <w:rsid w:val="168C0EFA"/>
    <w:rsid w:val="169951F8"/>
    <w:rsid w:val="169E30BA"/>
    <w:rsid w:val="16F72008"/>
    <w:rsid w:val="16FD0284"/>
    <w:rsid w:val="171F1FF9"/>
    <w:rsid w:val="17347A26"/>
    <w:rsid w:val="173B70E6"/>
    <w:rsid w:val="173D5C88"/>
    <w:rsid w:val="174D4C62"/>
    <w:rsid w:val="17655D48"/>
    <w:rsid w:val="17661DE9"/>
    <w:rsid w:val="17802666"/>
    <w:rsid w:val="17825ECD"/>
    <w:rsid w:val="179563CB"/>
    <w:rsid w:val="17E557C6"/>
    <w:rsid w:val="17EE561B"/>
    <w:rsid w:val="17EF2B17"/>
    <w:rsid w:val="17F7067F"/>
    <w:rsid w:val="18160F70"/>
    <w:rsid w:val="18276FA8"/>
    <w:rsid w:val="18307610"/>
    <w:rsid w:val="18314AD8"/>
    <w:rsid w:val="183677EC"/>
    <w:rsid w:val="18433981"/>
    <w:rsid w:val="18975B9D"/>
    <w:rsid w:val="189A553C"/>
    <w:rsid w:val="18C820CA"/>
    <w:rsid w:val="18E45E2F"/>
    <w:rsid w:val="18FC59C9"/>
    <w:rsid w:val="18FF1B58"/>
    <w:rsid w:val="1915286A"/>
    <w:rsid w:val="19291F23"/>
    <w:rsid w:val="193C0E72"/>
    <w:rsid w:val="19851DC8"/>
    <w:rsid w:val="198B7F4C"/>
    <w:rsid w:val="19BD15B0"/>
    <w:rsid w:val="19E2336D"/>
    <w:rsid w:val="19F03134"/>
    <w:rsid w:val="1A1339A9"/>
    <w:rsid w:val="1A4237FC"/>
    <w:rsid w:val="1A4C2A91"/>
    <w:rsid w:val="1A4C5BFF"/>
    <w:rsid w:val="1A512CBE"/>
    <w:rsid w:val="1A5A2F4D"/>
    <w:rsid w:val="1A630E19"/>
    <w:rsid w:val="1A632A07"/>
    <w:rsid w:val="1A6C1BBA"/>
    <w:rsid w:val="1A70502B"/>
    <w:rsid w:val="1A7C3AD3"/>
    <w:rsid w:val="1A7D2384"/>
    <w:rsid w:val="1AA86F9E"/>
    <w:rsid w:val="1AC126B3"/>
    <w:rsid w:val="1AC464C4"/>
    <w:rsid w:val="1AE02EA6"/>
    <w:rsid w:val="1AE37958"/>
    <w:rsid w:val="1AEE77E7"/>
    <w:rsid w:val="1B16414A"/>
    <w:rsid w:val="1B47722C"/>
    <w:rsid w:val="1B685B01"/>
    <w:rsid w:val="1B763FFC"/>
    <w:rsid w:val="1B845E56"/>
    <w:rsid w:val="1B8768B6"/>
    <w:rsid w:val="1B8B5206"/>
    <w:rsid w:val="1B8D38EB"/>
    <w:rsid w:val="1BAE0E3F"/>
    <w:rsid w:val="1BDE1DD5"/>
    <w:rsid w:val="1BE66812"/>
    <w:rsid w:val="1C2727E1"/>
    <w:rsid w:val="1C3026F3"/>
    <w:rsid w:val="1C45058D"/>
    <w:rsid w:val="1C4C091B"/>
    <w:rsid w:val="1C4C70E6"/>
    <w:rsid w:val="1C7F1B9A"/>
    <w:rsid w:val="1C954C88"/>
    <w:rsid w:val="1CA36390"/>
    <w:rsid w:val="1CAB38AB"/>
    <w:rsid w:val="1CB33C7D"/>
    <w:rsid w:val="1CD17881"/>
    <w:rsid w:val="1CE600EE"/>
    <w:rsid w:val="1D0A1176"/>
    <w:rsid w:val="1D18624C"/>
    <w:rsid w:val="1D2F2457"/>
    <w:rsid w:val="1D8048FF"/>
    <w:rsid w:val="1D9A67A6"/>
    <w:rsid w:val="1DB04F8B"/>
    <w:rsid w:val="1DBB4E45"/>
    <w:rsid w:val="1DC53189"/>
    <w:rsid w:val="1DC80E2E"/>
    <w:rsid w:val="1DE638C1"/>
    <w:rsid w:val="1E1A0402"/>
    <w:rsid w:val="1E2A5CCA"/>
    <w:rsid w:val="1E806958"/>
    <w:rsid w:val="1E932CAC"/>
    <w:rsid w:val="1EB9310E"/>
    <w:rsid w:val="1ECD7361"/>
    <w:rsid w:val="1ECE0CE2"/>
    <w:rsid w:val="1EE26FD7"/>
    <w:rsid w:val="1EE5779E"/>
    <w:rsid w:val="1EE91FCA"/>
    <w:rsid w:val="1EF26FEE"/>
    <w:rsid w:val="1F177FFF"/>
    <w:rsid w:val="1F6563C7"/>
    <w:rsid w:val="1F847E66"/>
    <w:rsid w:val="1F894841"/>
    <w:rsid w:val="1F947140"/>
    <w:rsid w:val="1FA71CE2"/>
    <w:rsid w:val="1FD47F9C"/>
    <w:rsid w:val="1FFD3B13"/>
    <w:rsid w:val="1FFF61F4"/>
    <w:rsid w:val="20237BD4"/>
    <w:rsid w:val="20266CC4"/>
    <w:rsid w:val="20337A69"/>
    <w:rsid w:val="20377776"/>
    <w:rsid w:val="206D6326"/>
    <w:rsid w:val="20A65CB5"/>
    <w:rsid w:val="20AE2BAC"/>
    <w:rsid w:val="20B47030"/>
    <w:rsid w:val="20E0389D"/>
    <w:rsid w:val="212C6C76"/>
    <w:rsid w:val="214C73FB"/>
    <w:rsid w:val="215E3AE1"/>
    <w:rsid w:val="216013DD"/>
    <w:rsid w:val="21A15BD0"/>
    <w:rsid w:val="21AC481C"/>
    <w:rsid w:val="21B10ABB"/>
    <w:rsid w:val="21B97DBF"/>
    <w:rsid w:val="21BC506C"/>
    <w:rsid w:val="21C76E80"/>
    <w:rsid w:val="21E72C12"/>
    <w:rsid w:val="22024734"/>
    <w:rsid w:val="22076CCE"/>
    <w:rsid w:val="22116DE6"/>
    <w:rsid w:val="221B6077"/>
    <w:rsid w:val="224062E0"/>
    <w:rsid w:val="22552785"/>
    <w:rsid w:val="228F0D74"/>
    <w:rsid w:val="22A30F9F"/>
    <w:rsid w:val="22AC4AD9"/>
    <w:rsid w:val="22DC4E91"/>
    <w:rsid w:val="22DF754B"/>
    <w:rsid w:val="22EB0EF1"/>
    <w:rsid w:val="231D67D3"/>
    <w:rsid w:val="233A567F"/>
    <w:rsid w:val="23754CE9"/>
    <w:rsid w:val="23870518"/>
    <w:rsid w:val="23B24149"/>
    <w:rsid w:val="23C86C51"/>
    <w:rsid w:val="23D81D0D"/>
    <w:rsid w:val="23F81D76"/>
    <w:rsid w:val="23FD0CFD"/>
    <w:rsid w:val="242C27BA"/>
    <w:rsid w:val="24922C06"/>
    <w:rsid w:val="249F5C13"/>
    <w:rsid w:val="24B01004"/>
    <w:rsid w:val="24C50B85"/>
    <w:rsid w:val="24C77D89"/>
    <w:rsid w:val="24C83650"/>
    <w:rsid w:val="24F2591F"/>
    <w:rsid w:val="25031EB0"/>
    <w:rsid w:val="250D58FE"/>
    <w:rsid w:val="25182D3E"/>
    <w:rsid w:val="2549719C"/>
    <w:rsid w:val="25571767"/>
    <w:rsid w:val="25687D3D"/>
    <w:rsid w:val="257E458B"/>
    <w:rsid w:val="25CF07E5"/>
    <w:rsid w:val="25DF001A"/>
    <w:rsid w:val="25F27123"/>
    <w:rsid w:val="25F94F8A"/>
    <w:rsid w:val="25FE2281"/>
    <w:rsid w:val="261F7766"/>
    <w:rsid w:val="2629354A"/>
    <w:rsid w:val="267051C2"/>
    <w:rsid w:val="267E0425"/>
    <w:rsid w:val="26800B2C"/>
    <w:rsid w:val="26963C90"/>
    <w:rsid w:val="269E18CD"/>
    <w:rsid w:val="26BE6F50"/>
    <w:rsid w:val="26DB2458"/>
    <w:rsid w:val="26DC6A2C"/>
    <w:rsid w:val="26F06D2D"/>
    <w:rsid w:val="2718329F"/>
    <w:rsid w:val="27235D57"/>
    <w:rsid w:val="27452B84"/>
    <w:rsid w:val="275E1971"/>
    <w:rsid w:val="277D3765"/>
    <w:rsid w:val="27AF23D1"/>
    <w:rsid w:val="27B24976"/>
    <w:rsid w:val="27B268B1"/>
    <w:rsid w:val="27B90A11"/>
    <w:rsid w:val="27C33A84"/>
    <w:rsid w:val="27F77FE6"/>
    <w:rsid w:val="280D5C5D"/>
    <w:rsid w:val="282318B2"/>
    <w:rsid w:val="28240B2F"/>
    <w:rsid w:val="2835310E"/>
    <w:rsid w:val="283D0777"/>
    <w:rsid w:val="283E0CB0"/>
    <w:rsid w:val="28482626"/>
    <w:rsid w:val="284F237B"/>
    <w:rsid w:val="285F2776"/>
    <w:rsid w:val="28706733"/>
    <w:rsid w:val="28AE09AA"/>
    <w:rsid w:val="28D36397"/>
    <w:rsid w:val="28E63E43"/>
    <w:rsid w:val="291D229C"/>
    <w:rsid w:val="291F2C17"/>
    <w:rsid w:val="29232F37"/>
    <w:rsid w:val="294B629E"/>
    <w:rsid w:val="29A25345"/>
    <w:rsid w:val="29B61DBF"/>
    <w:rsid w:val="29B64263"/>
    <w:rsid w:val="29BB1D03"/>
    <w:rsid w:val="29E9663C"/>
    <w:rsid w:val="29F91972"/>
    <w:rsid w:val="2A1A79BB"/>
    <w:rsid w:val="2A2C5D44"/>
    <w:rsid w:val="2A3C1598"/>
    <w:rsid w:val="2A3D0FA3"/>
    <w:rsid w:val="2A475825"/>
    <w:rsid w:val="2A4C522E"/>
    <w:rsid w:val="2A816ECD"/>
    <w:rsid w:val="2A83368A"/>
    <w:rsid w:val="2A8B7036"/>
    <w:rsid w:val="2AA72023"/>
    <w:rsid w:val="2ADB0E7C"/>
    <w:rsid w:val="2B194ABC"/>
    <w:rsid w:val="2B2011AB"/>
    <w:rsid w:val="2B255920"/>
    <w:rsid w:val="2B30165E"/>
    <w:rsid w:val="2B341F20"/>
    <w:rsid w:val="2B83711C"/>
    <w:rsid w:val="2B8B6762"/>
    <w:rsid w:val="2B9E188B"/>
    <w:rsid w:val="2BAB4335"/>
    <w:rsid w:val="2BAE3261"/>
    <w:rsid w:val="2BAE7F26"/>
    <w:rsid w:val="2BB8690B"/>
    <w:rsid w:val="2BE02548"/>
    <w:rsid w:val="2BF5656D"/>
    <w:rsid w:val="2C38679B"/>
    <w:rsid w:val="2C51657C"/>
    <w:rsid w:val="2C556DF1"/>
    <w:rsid w:val="2C5F45AB"/>
    <w:rsid w:val="2C71121D"/>
    <w:rsid w:val="2C9B4235"/>
    <w:rsid w:val="2C9C7106"/>
    <w:rsid w:val="2CAA3DB0"/>
    <w:rsid w:val="2CB30C80"/>
    <w:rsid w:val="2CC211C3"/>
    <w:rsid w:val="2CCE1398"/>
    <w:rsid w:val="2CCF5F98"/>
    <w:rsid w:val="2CE51F27"/>
    <w:rsid w:val="2CF76CB5"/>
    <w:rsid w:val="2D46762A"/>
    <w:rsid w:val="2D47755B"/>
    <w:rsid w:val="2D5518F0"/>
    <w:rsid w:val="2D573B16"/>
    <w:rsid w:val="2D6F4D91"/>
    <w:rsid w:val="2D6F4E42"/>
    <w:rsid w:val="2D921ADA"/>
    <w:rsid w:val="2DA12BD6"/>
    <w:rsid w:val="2DAD4DA4"/>
    <w:rsid w:val="2DC91958"/>
    <w:rsid w:val="2DCA0C6D"/>
    <w:rsid w:val="2DE276E7"/>
    <w:rsid w:val="2DE413DA"/>
    <w:rsid w:val="2DFC00C6"/>
    <w:rsid w:val="2E093550"/>
    <w:rsid w:val="2E1E5A2E"/>
    <w:rsid w:val="2E397F5B"/>
    <w:rsid w:val="2E540092"/>
    <w:rsid w:val="2E621ADC"/>
    <w:rsid w:val="2E8F5092"/>
    <w:rsid w:val="2E943AC6"/>
    <w:rsid w:val="2EA36710"/>
    <w:rsid w:val="2EAD18C2"/>
    <w:rsid w:val="2EBC7D2A"/>
    <w:rsid w:val="2ECC1C8A"/>
    <w:rsid w:val="2ED700A1"/>
    <w:rsid w:val="2EDE6041"/>
    <w:rsid w:val="2EEB26D8"/>
    <w:rsid w:val="2EF02674"/>
    <w:rsid w:val="2EF42B66"/>
    <w:rsid w:val="2EF64A02"/>
    <w:rsid w:val="2EFF5FF9"/>
    <w:rsid w:val="2F04698E"/>
    <w:rsid w:val="2F092A69"/>
    <w:rsid w:val="2F1F4B7A"/>
    <w:rsid w:val="2F2461D4"/>
    <w:rsid w:val="2F3E4A6B"/>
    <w:rsid w:val="2F641837"/>
    <w:rsid w:val="2F691FF9"/>
    <w:rsid w:val="2F8A6E99"/>
    <w:rsid w:val="2F985939"/>
    <w:rsid w:val="2FB86E42"/>
    <w:rsid w:val="2FC6073B"/>
    <w:rsid w:val="2FD31287"/>
    <w:rsid w:val="2FDF3538"/>
    <w:rsid w:val="2FE06451"/>
    <w:rsid w:val="2FE7121D"/>
    <w:rsid w:val="2FEB4EBF"/>
    <w:rsid w:val="2FEC3A85"/>
    <w:rsid w:val="2FEF5971"/>
    <w:rsid w:val="2FEF773C"/>
    <w:rsid w:val="300E1ADC"/>
    <w:rsid w:val="301B1731"/>
    <w:rsid w:val="3053255E"/>
    <w:rsid w:val="305F5BFB"/>
    <w:rsid w:val="306362D7"/>
    <w:rsid w:val="30AC0442"/>
    <w:rsid w:val="30CA0452"/>
    <w:rsid w:val="30CB0A21"/>
    <w:rsid w:val="30E322D4"/>
    <w:rsid w:val="30FD52B9"/>
    <w:rsid w:val="310A4BDB"/>
    <w:rsid w:val="311122F5"/>
    <w:rsid w:val="313A7190"/>
    <w:rsid w:val="313E1555"/>
    <w:rsid w:val="3157660C"/>
    <w:rsid w:val="31774F8A"/>
    <w:rsid w:val="31815571"/>
    <w:rsid w:val="31837D36"/>
    <w:rsid w:val="3191725E"/>
    <w:rsid w:val="31A3089C"/>
    <w:rsid w:val="31C069DE"/>
    <w:rsid w:val="31CF106D"/>
    <w:rsid w:val="31D47040"/>
    <w:rsid w:val="32036A41"/>
    <w:rsid w:val="3221252F"/>
    <w:rsid w:val="323C5602"/>
    <w:rsid w:val="326C63BF"/>
    <w:rsid w:val="329209D9"/>
    <w:rsid w:val="329E1713"/>
    <w:rsid w:val="32B12FEB"/>
    <w:rsid w:val="32D344AC"/>
    <w:rsid w:val="3306169E"/>
    <w:rsid w:val="332217D9"/>
    <w:rsid w:val="33245D89"/>
    <w:rsid w:val="332F65D6"/>
    <w:rsid w:val="333E62FB"/>
    <w:rsid w:val="33472FE5"/>
    <w:rsid w:val="334D579E"/>
    <w:rsid w:val="33590613"/>
    <w:rsid w:val="33651E33"/>
    <w:rsid w:val="336B504B"/>
    <w:rsid w:val="33703F50"/>
    <w:rsid w:val="33811221"/>
    <w:rsid w:val="339539A1"/>
    <w:rsid w:val="33AA6DA5"/>
    <w:rsid w:val="33BE153D"/>
    <w:rsid w:val="33C32E40"/>
    <w:rsid w:val="33D70948"/>
    <w:rsid w:val="33E276BD"/>
    <w:rsid w:val="33E847CD"/>
    <w:rsid w:val="33EE638D"/>
    <w:rsid w:val="342F57C2"/>
    <w:rsid w:val="3454534C"/>
    <w:rsid w:val="345C5592"/>
    <w:rsid w:val="3471399A"/>
    <w:rsid w:val="347A38BB"/>
    <w:rsid w:val="347B6DEE"/>
    <w:rsid w:val="348F486D"/>
    <w:rsid w:val="3492421F"/>
    <w:rsid w:val="34A205BB"/>
    <w:rsid w:val="34A23FD1"/>
    <w:rsid w:val="34A810CA"/>
    <w:rsid w:val="34BD6D79"/>
    <w:rsid w:val="34C169C6"/>
    <w:rsid w:val="34E741CD"/>
    <w:rsid w:val="350C1DA9"/>
    <w:rsid w:val="35120503"/>
    <w:rsid w:val="35372869"/>
    <w:rsid w:val="3539585B"/>
    <w:rsid w:val="35821D40"/>
    <w:rsid w:val="35870A10"/>
    <w:rsid w:val="35AA409A"/>
    <w:rsid w:val="35C05C70"/>
    <w:rsid w:val="35E557FE"/>
    <w:rsid w:val="35E64BC9"/>
    <w:rsid w:val="35FF632B"/>
    <w:rsid w:val="36201419"/>
    <w:rsid w:val="364D03B0"/>
    <w:rsid w:val="365A7314"/>
    <w:rsid w:val="366B4425"/>
    <w:rsid w:val="366E519F"/>
    <w:rsid w:val="36820E7F"/>
    <w:rsid w:val="36883ECC"/>
    <w:rsid w:val="369A21FE"/>
    <w:rsid w:val="36A07C1A"/>
    <w:rsid w:val="36B74D55"/>
    <w:rsid w:val="36CB7796"/>
    <w:rsid w:val="36F37A67"/>
    <w:rsid w:val="36F8155F"/>
    <w:rsid w:val="36FE495F"/>
    <w:rsid w:val="371C7F2D"/>
    <w:rsid w:val="37504F49"/>
    <w:rsid w:val="37563AF8"/>
    <w:rsid w:val="3758685F"/>
    <w:rsid w:val="376075B1"/>
    <w:rsid w:val="376C68BA"/>
    <w:rsid w:val="376D2549"/>
    <w:rsid w:val="37716FD3"/>
    <w:rsid w:val="3784796F"/>
    <w:rsid w:val="378E72EF"/>
    <w:rsid w:val="37911522"/>
    <w:rsid w:val="379901B6"/>
    <w:rsid w:val="37B51541"/>
    <w:rsid w:val="37D22EF2"/>
    <w:rsid w:val="37E82CFF"/>
    <w:rsid w:val="38043471"/>
    <w:rsid w:val="381332CB"/>
    <w:rsid w:val="38190639"/>
    <w:rsid w:val="381F63EA"/>
    <w:rsid w:val="38460AC9"/>
    <w:rsid w:val="38913B57"/>
    <w:rsid w:val="38BA07F7"/>
    <w:rsid w:val="38BE6C90"/>
    <w:rsid w:val="38D71FA2"/>
    <w:rsid w:val="38D80E9D"/>
    <w:rsid w:val="38DA59EF"/>
    <w:rsid w:val="390358D3"/>
    <w:rsid w:val="3920614A"/>
    <w:rsid w:val="39215916"/>
    <w:rsid w:val="39420147"/>
    <w:rsid w:val="3944633C"/>
    <w:rsid w:val="39652381"/>
    <w:rsid w:val="39766489"/>
    <w:rsid w:val="39801E66"/>
    <w:rsid w:val="398D50DD"/>
    <w:rsid w:val="398E5315"/>
    <w:rsid w:val="3999447F"/>
    <w:rsid w:val="39A411A9"/>
    <w:rsid w:val="39AF78F7"/>
    <w:rsid w:val="39B06E6D"/>
    <w:rsid w:val="39DD3D5C"/>
    <w:rsid w:val="39DD5042"/>
    <w:rsid w:val="39DE1C53"/>
    <w:rsid w:val="39DF3283"/>
    <w:rsid w:val="3A2D1EE7"/>
    <w:rsid w:val="3A3B44A6"/>
    <w:rsid w:val="3A45186A"/>
    <w:rsid w:val="3A4B6410"/>
    <w:rsid w:val="3A603978"/>
    <w:rsid w:val="3A6F3CBE"/>
    <w:rsid w:val="3A715E87"/>
    <w:rsid w:val="3A795444"/>
    <w:rsid w:val="3A803A0A"/>
    <w:rsid w:val="3A827834"/>
    <w:rsid w:val="3AA55646"/>
    <w:rsid w:val="3AA83F69"/>
    <w:rsid w:val="3AAB10D2"/>
    <w:rsid w:val="3AAB3E54"/>
    <w:rsid w:val="3AAF4125"/>
    <w:rsid w:val="3AB27942"/>
    <w:rsid w:val="3ABA2F5D"/>
    <w:rsid w:val="3ACB7591"/>
    <w:rsid w:val="3ACF2DB5"/>
    <w:rsid w:val="3AD34A12"/>
    <w:rsid w:val="3AE825D4"/>
    <w:rsid w:val="3AFC4164"/>
    <w:rsid w:val="3B045CFB"/>
    <w:rsid w:val="3B18194F"/>
    <w:rsid w:val="3B1B415A"/>
    <w:rsid w:val="3B3C7BD2"/>
    <w:rsid w:val="3B4A4F4B"/>
    <w:rsid w:val="3B58646B"/>
    <w:rsid w:val="3B6B1584"/>
    <w:rsid w:val="3B80359C"/>
    <w:rsid w:val="3B8C493B"/>
    <w:rsid w:val="3BAD3F64"/>
    <w:rsid w:val="3BB35AA2"/>
    <w:rsid w:val="3BF37C21"/>
    <w:rsid w:val="3C117BC1"/>
    <w:rsid w:val="3C143D43"/>
    <w:rsid w:val="3C2C6743"/>
    <w:rsid w:val="3C2E0477"/>
    <w:rsid w:val="3C4456B7"/>
    <w:rsid w:val="3C4C7E38"/>
    <w:rsid w:val="3C6277AE"/>
    <w:rsid w:val="3C983C34"/>
    <w:rsid w:val="3CB33CE1"/>
    <w:rsid w:val="3CE66019"/>
    <w:rsid w:val="3CED7536"/>
    <w:rsid w:val="3CF25ABD"/>
    <w:rsid w:val="3CF3651F"/>
    <w:rsid w:val="3D0119DD"/>
    <w:rsid w:val="3D104DA0"/>
    <w:rsid w:val="3D107EC9"/>
    <w:rsid w:val="3D232C19"/>
    <w:rsid w:val="3D2432F5"/>
    <w:rsid w:val="3D663AED"/>
    <w:rsid w:val="3D6D120E"/>
    <w:rsid w:val="3D6F7E5D"/>
    <w:rsid w:val="3D7F5EF7"/>
    <w:rsid w:val="3D876B3A"/>
    <w:rsid w:val="3D9120F7"/>
    <w:rsid w:val="3D9A18E7"/>
    <w:rsid w:val="3D9F73CB"/>
    <w:rsid w:val="3DA36496"/>
    <w:rsid w:val="3DC35DF6"/>
    <w:rsid w:val="3DC97009"/>
    <w:rsid w:val="3E11062A"/>
    <w:rsid w:val="3E165E83"/>
    <w:rsid w:val="3E29579A"/>
    <w:rsid w:val="3E5D71D4"/>
    <w:rsid w:val="3E6006C9"/>
    <w:rsid w:val="3E6D3608"/>
    <w:rsid w:val="3E717C47"/>
    <w:rsid w:val="3E7A343D"/>
    <w:rsid w:val="3E8E1EA4"/>
    <w:rsid w:val="3E914A3A"/>
    <w:rsid w:val="3E946B85"/>
    <w:rsid w:val="3E9C5D45"/>
    <w:rsid w:val="3EB4640E"/>
    <w:rsid w:val="3EC32686"/>
    <w:rsid w:val="3EC50B9A"/>
    <w:rsid w:val="3ECF5483"/>
    <w:rsid w:val="3ED50018"/>
    <w:rsid w:val="3EE90170"/>
    <w:rsid w:val="3EEC43D1"/>
    <w:rsid w:val="3EFA5B95"/>
    <w:rsid w:val="3EFD06E0"/>
    <w:rsid w:val="3F064A06"/>
    <w:rsid w:val="3F161EC6"/>
    <w:rsid w:val="3F167867"/>
    <w:rsid w:val="3F1E4912"/>
    <w:rsid w:val="3F25648D"/>
    <w:rsid w:val="3F2951E5"/>
    <w:rsid w:val="3F2D4828"/>
    <w:rsid w:val="3F4D095F"/>
    <w:rsid w:val="3F4D35B3"/>
    <w:rsid w:val="3F5A55E8"/>
    <w:rsid w:val="3F7613AF"/>
    <w:rsid w:val="3F90286A"/>
    <w:rsid w:val="3F986D08"/>
    <w:rsid w:val="3FA058D4"/>
    <w:rsid w:val="3FB4555C"/>
    <w:rsid w:val="3FDC10B1"/>
    <w:rsid w:val="3FDE018A"/>
    <w:rsid w:val="3FE309AF"/>
    <w:rsid w:val="3FE77882"/>
    <w:rsid w:val="3FF7224D"/>
    <w:rsid w:val="3FFC5EE3"/>
    <w:rsid w:val="40005CC7"/>
    <w:rsid w:val="400C0DD7"/>
    <w:rsid w:val="401064E4"/>
    <w:rsid w:val="4011136A"/>
    <w:rsid w:val="40161F99"/>
    <w:rsid w:val="407F35AE"/>
    <w:rsid w:val="408E0229"/>
    <w:rsid w:val="40986DAB"/>
    <w:rsid w:val="409D2B78"/>
    <w:rsid w:val="40BE4FF5"/>
    <w:rsid w:val="40C57C28"/>
    <w:rsid w:val="40C9420F"/>
    <w:rsid w:val="40CA0D67"/>
    <w:rsid w:val="40CF0AC6"/>
    <w:rsid w:val="40D00108"/>
    <w:rsid w:val="40F35631"/>
    <w:rsid w:val="40F8085C"/>
    <w:rsid w:val="41342BE9"/>
    <w:rsid w:val="4180589D"/>
    <w:rsid w:val="419A0E1D"/>
    <w:rsid w:val="41A60FAC"/>
    <w:rsid w:val="41AB2671"/>
    <w:rsid w:val="41EC4780"/>
    <w:rsid w:val="42084A2D"/>
    <w:rsid w:val="421314F2"/>
    <w:rsid w:val="42342C5E"/>
    <w:rsid w:val="4251267F"/>
    <w:rsid w:val="42521AE2"/>
    <w:rsid w:val="426F5763"/>
    <w:rsid w:val="429B1A8F"/>
    <w:rsid w:val="42A4442D"/>
    <w:rsid w:val="42A56CC9"/>
    <w:rsid w:val="42B205BE"/>
    <w:rsid w:val="42B7728C"/>
    <w:rsid w:val="42C91DE3"/>
    <w:rsid w:val="42CA2EA8"/>
    <w:rsid w:val="42ED187B"/>
    <w:rsid w:val="43137C56"/>
    <w:rsid w:val="433025D9"/>
    <w:rsid w:val="43416964"/>
    <w:rsid w:val="43612C5B"/>
    <w:rsid w:val="43633AD7"/>
    <w:rsid w:val="4363604D"/>
    <w:rsid w:val="4392756F"/>
    <w:rsid w:val="43B525B3"/>
    <w:rsid w:val="43BE1792"/>
    <w:rsid w:val="43C02CDF"/>
    <w:rsid w:val="43C51EB3"/>
    <w:rsid w:val="43CB498E"/>
    <w:rsid w:val="43EB40C7"/>
    <w:rsid w:val="443B221A"/>
    <w:rsid w:val="443F5510"/>
    <w:rsid w:val="44463CF5"/>
    <w:rsid w:val="444E316C"/>
    <w:rsid w:val="44594444"/>
    <w:rsid w:val="445A4526"/>
    <w:rsid w:val="44604E0A"/>
    <w:rsid w:val="44643A2A"/>
    <w:rsid w:val="44676966"/>
    <w:rsid w:val="44772D34"/>
    <w:rsid w:val="44790BCA"/>
    <w:rsid w:val="447A3F30"/>
    <w:rsid w:val="448C0ED8"/>
    <w:rsid w:val="44992925"/>
    <w:rsid w:val="449D5776"/>
    <w:rsid w:val="44BC69B2"/>
    <w:rsid w:val="44C12A7A"/>
    <w:rsid w:val="44CD49BC"/>
    <w:rsid w:val="44FD5B06"/>
    <w:rsid w:val="450422B6"/>
    <w:rsid w:val="450C556F"/>
    <w:rsid w:val="457E200B"/>
    <w:rsid w:val="45880D2F"/>
    <w:rsid w:val="4591159C"/>
    <w:rsid w:val="45972CB9"/>
    <w:rsid w:val="459875E6"/>
    <w:rsid w:val="45A361F6"/>
    <w:rsid w:val="45AC33A6"/>
    <w:rsid w:val="45B00CD2"/>
    <w:rsid w:val="45B11187"/>
    <w:rsid w:val="45B64983"/>
    <w:rsid w:val="45F82E59"/>
    <w:rsid w:val="45FA45BC"/>
    <w:rsid w:val="46366B3E"/>
    <w:rsid w:val="463743CB"/>
    <w:rsid w:val="463A1906"/>
    <w:rsid w:val="4640322B"/>
    <w:rsid w:val="46563681"/>
    <w:rsid w:val="466B743A"/>
    <w:rsid w:val="466D72D7"/>
    <w:rsid w:val="467D6881"/>
    <w:rsid w:val="46967BDF"/>
    <w:rsid w:val="46975D28"/>
    <w:rsid w:val="46B5503F"/>
    <w:rsid w:val="46C918D7"/>
    <w:rsid w:val="46CA6D3E"/>
    <w:rsid w:val="46D135B1"/>
    <w:rsid w:val="46D86D93"/>
    <w:rsid w:val="46DE4EFA"/>
    <w:rsid w:val="46E10DDA"/>
    <w:rsid w:val="46E24CD0"/>
    <w:rsid w:val="46E30902"/>
    <w:rsid w:val="471E42A0"/>
    <w:rsid w:val="47355CF1"/>
    <w:rsid w:val="473E3C6F"/>
    <w:rsid w:val="477C71EA"/>
    <w:rsid w:val="47B15EC0"/>
    <w:rsid w:val="47DF5E85"/>
    <w:rsid w:val="480461FE"/>
    <w:rsid w:val="480B6634"/>
    <w:rsid w:val="48146141"/>
    <w:rsid w:val="48186969"/>
    <w:rsid w:val="48210C44"/>
    <w:rsid w:val="482F37DE"/>
    <w:rsid w:val="48570944"/>
    <w:rsid w:val="48617573"/>
    <w:rsid w:val="488D3DF2"/>
    <w:rsid w:val="488F04B4"/>
    <w:rsid w:val="48A24958"/>
    <w:rsid w:val="48B77032"/>
    <w:rsid w:val="48E31D5C"/>
    <w:rsid w:val="48EA35FD"/>
    <w:rsid w:val="48F67BDE"/>
    <w:rsid w:val="491319F6"/>
    <w:rsid w:val="49297B91"/>
    <w:rsid w:val="492E55F1"/>
    <w:rsid w:val="49362FED"/>
    <w:rsid w:val="495C5229"/>
    <w:rsid w:val="49685F74"/>
    <w:rsid w:val="497D7C77"/>
    <w:rsid w:val="49892209"/>
    <w:rsid w:val="49AD4004"/>
    <w:rsid w:val="49D458D7"/>
    <w:rsid w:val="49E4468E"/>
    <w:rsid w:val="49F27105"/>
    <w:rsid w:val="4A1156EB"/>
    <w:rsid w:val="4A1500D7"/>
    <w:rsid w:val="4A3B6750"/>
    <w:rsid w:val="4A4D1836"/>
    <w:rsid w:val="4A897E21"/>
    <w:rsid w:val="4ABA3C09"/>
    <w:rsid w:val="4AC9770C"/>
    <w:rsid w:val="4AD53F13"/>
    <w:rsid w:val="4AE94F50"/>
    <w:rsid w:val="4AF143EA"/>
    <w:rsid w:val="4B20372E"/>
    <w:rsid w:val="4B5A1C54"/>
    <w:rsid w:val="4B7F5EA8"/>
    <w:rsid w:val="4BA43BAF"/>
    <w:rsid w:val="4BAF2460"/>
    <w:rsid w:val="4BC15C4A"/>
    <w:rsid w:val="4BC208A1"/>
    <w:rsid w:val="4BD80497"/>
    <w:rsid w:val="4BF124B0"/>
    <w:rsid w:val="4C0C2795"/>
    <w:rsid w:val="4C15626C"/>
    <w:rsid w:val="4C1C5BB6"/>
    <w:rsid w:val="4C250D4D"/>
    <w:rsid w:val="4C3249CC"/>
    <w:rsid w:val="4C331D5F"/>
    <w:rsid w:val="4C447B9B"/>
    <w:rsid w:val="4C5B7F81"/>
    <w:rsid w:val="4C922CE3"/>
    <w:rsid w:val="4C940EB0"/>
    <w:rsid w:val="4C9C187A"/>
    <w:rsid w:val="4C9D537D"/>
    <w:rsid w:val="4CC71A9B"/>
    <w:rsid w:val="4CCE3E29"/>
    <w:rsid w:val="4CED78FC"/>
    <w:rsid w:val="4CF77CA8"/>
    <w:rsid w:val="4D057665"/>
    <w:rsid w:val="4D073C68"/>
    <w:rsid w:val="4D292718"/>
    <w:rsid w:val="4D3133CE"/>
    <w:rsid w:val="4D3812FA"/>
    <w:rsid w:val="4D38389A"/>
    <w:rsid w:val="4D416352"/>
    <w:rsid w:val="4D5361CC"/>
    <w:rsid w:val="4D6547D3"/>
    <w:rsid w:val="4D6749FA"/>
    <w:rsid w:val="4D6774A9"/>
    <w:rsid w:val="4D6A5D5B"/>
    <w:rsid w:val="4D887A0C"/>
    <w:rsid w:val="4D9507BB"/>
    <w:rsid w:val="4DA30152"/>
    <w:rsid w:val="4DA629D4"/>
    <w:rsid w:val="4DB14ACF"/>
    <w:rsid w:val="4DB5603F"/>
    <w:rsid w:val="4DD16B54"/>
    <w:rsid w:val="4DFC6F54"/>
    <w:rsid w:val="4E09085F"/>
    <w:rsid w:val="4E094CE7"/>
    <w:rsid w:val="4E0B4451"/>
    <w:rsid w:val="4E2763AE"/>
    <w:rsid w:val="4E345C18"/>
    <w:rsid w:val="4E516539"/>
    <w:rsid w:val="4E8A6390"/>
    <w:rsid w:val="4E8F77F9"/>
    <w:rsid w:val="4EA267D3"/>
    <w:rsid w:val="4EA33917"/>
    <w:rsid w:val="4EE83AE3"/>
    <w:rsid w:val="4EFF394F"/>
    <w:rsid w:val="4F2A655C"/>
    <w:rsid w:val="4F2D10F3"/>
    <w:rsid w:val="4F3F7084"/>
    <w:rsid w:val="4F4901AC"/>
    <w:rsid w:val="4F5C62F6"/>
    <w:rsid w:val="4F611DD6"/>
    <w:rsid w:val="4F765D32"/>
    <w:rsid w:val="4F8070EF"/>
    <w:rsid w:val="4F8B21EF"/>
    <w:rsid w:val="4FAF3BC7"/>
    <w:rsid w:val="4FBB19DB"/>
    <w:rsid w:val="4FD27759"/>
    <w:rsid w:val="4FE4072D"/>
    <w:rsid w:val="4FFB38C0"/>
    <w:rsid w:val="503401B9"/>
    <w:rsid w:val="50392248"/>
    <w:rsid w:val="50435ECC"/>
    <w:rsid w:val="505B04E7"/>
    <w:rsid w:val="505D3764"/>
    <w:rsid w:val="505F2757"/>
    <w:rsid w:val="507A249D"/>
    <w:rsid w:val="50A45DD3"/>
    <w:rsid w:val="50CC2459"/>
    <w:rsid w:val="50D23B71"/>
    <w:rsid w:val="51373685"/>
    <w:rsid w:val="51580AB3"/>
    <w:rsid w:val="516134C3"/>
    <w:rsid w:val="51645990"/>
    <w:rsid w:val="51792A4C"/>
    <w:rsid w:val="518D6F37"/>
    <w:rsid w:val="51B20774"/>
    <w:rsid w:val="51B82B7D"/>
    <w:rsid w:val="51C418F8"/>
    <w:rsid w:val="51C87C2A"/>
    <w:rsid w:val="51CC68EB"/>
    <w:rsid w:val="51CD3797"/>
    <w:rsid w:val="51D228D7"/>
    <w:rsid w:val="520168E6"/>
    <w:rsid w:val="521350AF"/>
    <w:rsid w:val="52183959"/>
    <w:rsid w:val="52295439"/>
    <w:rsid w:val="522F0AF6"/>
    <w:rsid w:val="5235708F"/>
    <w:rsid w:val="523E7CA8"/>
    <w:rsid w:val="52495232"/>
    <w:rsid w:val="52505D1E"/>
    <w:rsid w:val="5269224C"/>
    <w:rsid w:val="526F6AFE"/>
    <w:rsid w:val="527B370E"/>
    <w:rsid w:val="528021FA"/>
    <w:rsid w:val="5283144E"/>
    <w:rsid w:val="52867F49"/>
    <w:rsid w:val="52A26F84"/>
    <w:rsid w:val="52B43A2E"/>
    <w:rsid w:val="52CF40AF"/>
    <w:rsid w:val="52D033C1"/>
    <w:rsid w:val="52F627A9"/>
    <w:rsid w:val="53275A23"/>
    <w:rsid w:val="534B2DD7"/>
    <w:rsid w:val="53543E2C"/>
    <w:rsid w:val="535F0A08"/>
    <w:rsid w:val="536015B5"/>
    <w:rsid w:val="537029EF"/>
    <w:rsid w:val="538A482A"/>
    <w:rsid w:val="53997EFE"/>
    <w:rsid w:val="539B380C"/>
    <w:rsid w:val="53A72479"/>
    <w:rsid w:val="53B758F1"/>
    <w:rsid w:val="53B77F12"/>
    <w:rsid w:val="53BC707F"/>
    <w:rsid w:val="53C1770E"/>
    <w:rsid w:val="541207FB"/>
    <w:rsid w:val="542F6C32"/>
    <w:rsid w:val="547561E8"/>
    <w:rsid w:val="54A50DE6"/>
    <w:rsid w:val="54B94C4B"/>
    <w:rsid w:val="54BF5FEE"/>
    <w:rsid w:val="54C00C4A"/>
    <w:rsid w:val="54EC444B"/>
    <w:rsid w:val="54FC790C"/>
    <w:rsid w:val="551A43CC"/>
    <w:rsid w:val="55464F66"/>
    <w:rsid w:val="554C4E3B"/>
    <w:rsid w:val="5573115D"/>
    <w:rsid w:val="55945884"/>
    <w:rsid w:val="559A084C"/>
    <w:rsid w:val="55B0426A"/>
    <w:rsid w:val="55BE6669"/>
    <w:rsid w:val="55CB37D4"/>
    <w:rsid w:val="55F134FB"/>
    <w:rsid w:val="55F83C70"/>
    <w:rsid w:val="55FE2B63"/>
    <w:rsid w:val="56074815"/>
    <w:rsid w:val="56121615"/>
    <w:rsid w:val="5614730C"/>
    <w:rsid w:val="56427B41"/>
    <w:rsid w:val="56534EA2"/>
    <w:rsid w:val="56562229"/>
    <w:rsid w:val="56570DF3"/>
    <w:rsid w:val="565D5328"/>
    <w:rsid w:val="566379C1"/>
    <w:rsid w:val="567A3994"/>
    <w:rsid w:val="56A8457A"/>
    <w:rsid w:val="56AA1D8B"/>
    <w:rsid w:val="56AF7082"/>
    <w:rsid w:val="56B357AB"/>
    <w:rsid w:val="56BF7F3F"/>
    <w:rsid w:val="56D11FC8"/>
    <w:rsid w:val="56E63CC1"/>
    <w:rsid w:val="56EA4AAA"/>
    <w:rsid w:val="572017C5"/>
    <w:rsid w:val="573D1B9A"/>
    <w:rsid w:val="575042DF"/>
    <w:rsid w:val="576B4C61"/>
    <w:rsid w:val="5785190F"/>
    <w:rsid w:val="57E9639C"/>
    <w:rsid w:val="57EF711F"/>
    <w:rsid w:val="57F10E37"/>
    <w:rsid w:val="5800184B"/>
    <w:rsid w:val="580F5AB5"/>
    <w:rsid w:val="58452B99"/>
    <w:rsid w:val="58477E54"/>
    <w:rsid w:val="58495113"/>
    <w:rsid w:val="5866725E"/>
    <w:rsid w:val="586D0116"/>
    <w:rsid w:val="587A7547"/>
    <w:rsid w:val="589C436A"/>
    <w:rsid w:val="589E35CE"/>
    <w:rsid w:val="58D341B4"/>
    <w:rsid w:val="58DE232D"/>
    <w:rsid w:val="58E73E59"/>
    <w:rsid w:val="58F64665"/>
    <w:rsid w:val="59073DF5"/>
    <w:rsid w:val="591540F7"/>
    <w:rsid w:val="59257761"/>
    <w:rsid w:val="59271BF1"/>
    <w:rsid w:val="592D28AC"/>
    <w:rsid w:val="592F48BB"/>
    <w:rsid w:val="59317A0E"/>
    <w:rsid w:val="59811143"/>
    <w:rsid w:val="59A85802"/>
    <w:rsid w:val="59B87F50"/>
    <w:rsid w:val="59C465AF"/>
    <w:rsid w:val="59CF294A"/>
    <w:rsid w:val="59F93A7A"/>
    <w:rsid w:val="59FC6433"/>
    <w:rsid w:val="5A3416C0"/>
    <w:rsid w:val="5A3E3DAC"/>
    <w:rsid w:val="5A4B0D35"/>
    <w:rsid w:val="5A865B64"/>
    <w:rsid w:val="5AB36907"/>
    <w:rsid w:val="5AB465CA"/>
    <w:rsid w:val="5ACE6CB5"/>
    <w:rsid w:val="5AEA1EAA"/>
    <w:rsid w:val="5AF424CA"/>
    <w:rsid w:val="5AF7328A"/>
    <w:rsid w:val="5AF97096"/>
    <w:rsid w:val="5B0C1003"/>
    <w:rsid w:val="5B111EBE"/>
    <w:rsid w:val="5B2336EB"/>
    <w:rsid w:val="5B272403"/>
    <w:rsid w:val="5B2B5198"/>
    <w:rsid w:val="5B3269ED"/>
    <w:rsid w:val="5B335568"/>
    <w:rsid w:val="5B345C74"/>
    <w:rsid w:val="5B3E06BA"/>
    <w:rsid w:val="5B5A23C8"/>
    <w:rsid w:val="5B6413DB"/>
    <w:rsid w:val="5B742B64"/>
    <w:rsid w:val="5B776020"/>
    <w:rsid w:val="5B7B7DF0"/>
    <w:rsid w:val="5B8454FE"/>
    <w:rsid w:val="5BB77FB3"/>
    <w:rsid w:val="5BC27641"/>
    <w:rsid w:val="5BCC1D69"/>
    <w:rsid w:val="5BE64EA3"/>
    <w:rsid w:val="5C0B20A2"/>
    <w:rsid w:val="5C0D1F0A"/>
    <w:rsid w:val="5C170F25"/>
    <w:rsid w:val="5C350487"/>
    <w:rsid w:val="5C402FCD"/>
    <w:rsid w:val="5C414C87"/>
    <w:rsid w:val="5C50313E"/>
    <w:rsid w:val="5C6A363B"/>
    <w:rsid w:val="5C785AF6"/>
    <w:rsid w:val="5C7F177C"/>
    <w:rsid w:val="5C897949"/>
    <w:rsid w:val="5C90285B"/>
    <w:rsid w:val="5CA80509"/>
    <w:rsid w:val="5CB00969"/>
    <w:rsid w:val="5CC62B3F"/>
    <w:rsid w:val="5CC73581"/>
    <w:rsid w:val="5CC83122"/>
    <w:rsid w:val="5CEA5DA2"/>
    <w:rsid w:val="5CED3B0C"/>
    <w:rsid w:val="5D0960F5"/>
    <w:rsid w:val="5D141BF2"/>
    <w:rsid w:val="5D14367A"/>
    <w:rsid w:val="5D244AE2"/>
    <w:rsid w:val="5D2D735C"/>
    <w:rsid w:val="5D483584"/>
    <w:rsid w:val="5D5C5214"/>
    <w:rsid w:val="5D5F6C4D"/>
    <w:rsid w:val="5D805F78"/>
    <w:rsid w:val="5D81134B"/>
    <w:rsid w:val="5D847D69"/>
    <w:rsid w:val="5D900BC8"/>
    <w:rsid w:val="5DA66842"/>
    <w:rsid w:val="5DBD50B9"/>
    <w:rsid w:val="5DFA23AC"/>
    <w:rsid w:val="5DFB30E9"/>
    <w:rsid w:val="5E2B5F68"/>
    <w:rsid w:val="5E430489"/>
    <w:rsid w:val="5E451506"/>
    <w:rsid w:val="5E477BBD"/>
    <w:rsid w:val="5E6733A0"/>
    <w:rsid w:val="5E6C6DF8"/>
    <w:rsid w:val="5E6E5B52"/>
    <w:rsid w:val="5E7300C6"/>
    <w:rsid w:val="5E8F76A0"/>
    <w:rsid w:val="5E9701AD"/>
    <w:rsid w:val="5EA31BB8"/>
    <w:rsid w:val="5EAD3B7B"/>
    <w:rsid w:val="5EB57A9D"/>
    <w:rsid w:val="5ED54A81"/>
    <w:rsid w:val="5EEB7921"/>
    <w:rsid w:val="5EEF4EBA"/>
    <w:rsid w:val="5F1C58DF"/>
    <w:rsid w:val="5F365C34"/>
    <w:rsid w:val="5F4710E4"/>
    <w:rsid w:val="5F9E2998"/>
    <w:rsid w:val="5FA7597A"/>
    <w:rsid w:val="5FA96646"/>
    <w:rsid w:val="5FAB2110"/>
    <w:rsid w:val="5FB41874"/>
    <w:rsid w:val="5FFE58F4"/>
    <w:rsid w:val="6034770E"/>
    <w:rsid w:val="60454710"/>
    <w:rsid w:val="60665920"/>
    <w:rsid w:val="606A36BC"/>
    <w:rsid w:val="608833F0"/>
    <w:rsid w:val="608F6240"/>
    <w:rsid w:val="609F342D"/>
    <w:rsid w:val="60AA75C4"/>
    <w:rsid w:val="60DA2C4B"/>
    <w:rsid w:val="60DB0CE3"/>
    <w:rsid w:val="60F608DC"/>
    <w:rsid w:val="60FC50B7"/>
    <w:rsid w:val="615B0BE1"/>
    <w:rsid w:val="615E3326"/>
    <w:rsid w:val="6172787E"/>
    <w:rsid w:val="617C4C4E"/>
    <w:rsid w:val="61CF0552"/>
    <w:rsid w:val="61D742F0"/>
    <w:rsid w:val="61F202B4"/>
    <w:rsid w:val="620657DB"/>
    <w:rsid w:val="6214413A"/>
    <w:rsid w:val="62396332"/>
    <w:rsid w:val="623F73EF"/>
    <w:rsid w:val="62404590"/>
    <w:rsid w:val="62427120"/>
    <w:rsid w:val="62494A56"/>
    <w:rsid w:val="625E2B08"/>
    <w:rsid w:val="626D171A"/>
    <w:rsid w:val="627D0352"/>
    <w:rsid w:val="627E31EF"/>
    <w:rsid w:val="62823674"/>
    <w:rsid w:val="629C39D4"/>
    <w:rsid w:val="62A42F16"/>
    <w:rsid w:val="62BC6E86"/>
    <w:rsid w:val="62D2783D"/>
    <w:rsid w:val="62DE542B"/>
    <w:rsid w:val="62ED561E"/>
    <w:rsid w:val="630B10DA"/>
    <w:rsid w:val="6324394E"/>
    <w:rsid w:val="632A2654"/>
    <w:rsid w:val="63411A73"/>
    <w:rsid w:val="63566613"/>
    <w:rsid w:val="63661322"/>
    <w:rsid w:val="636E5BE6"/>
    <w:rsid w:val="637C1E6C"/>
    <w:rsid w:val="638D799F"/>
    <w:rsid w:val="63B0485A"/>
    <w:rsid w:val="63B92644"/>
    <w:rsid w:val="63C55972"/>
    <w:rsid w:val="63F13660"/>
    <w:rsid w:val="63FA58E4"/>
    <w:rsid w:val="64004607"/>
    <w:rsid w:val="64157D15"/>
    <w:rsid w:val="641B0663"/>
    <w:rsid w:val="64256938"/>
    <w:rsid w:val="6442090B"/>
    <w:rsid w:val="644A744B"/>
    <w:rsid w:val="64763C6F"/>
    <w:rsid w:val="64897FC7"/>
    <w:rsid w:val="6493674A"/>
    <w:rsid w:val="64B61FE4"/>
    <w:rsid w:val="64D52FFF"/>
    <w:rsid w:val="64E45F49"/>
    <w:rsid w:val="64E606A7"/>
    <w:rsid w:val="64FC0A93"/>
    <w:rsid w:val="65013662"/>
    <w:rsid w:val="650141F8"/>
    <w:rsid w:val="65032D2A"/>
    <w:rsid w:val="6510382F"/>
    <w:rsid w:val="65293AB7"/>
    <w:rsid w:val="65354107"/>
    <w:rsid w:val="655B6A4F"/>
    <w:rsid w:val="65717FC5"/>
    <w:rsid w:val="6580745A"/>
    <w:rsid w:val="659F33C5"/>
    <w:rsid w:val="65B50EAF"/>
    <w:rsid w:val="65CF5F03"/>
    <w:rsid w:val="65EB75DE"/>
    <w:rsid w:val="65F61589"/>
    <w:rsid w:val="65F77A77"/>
    <w:rsid w:val="661E0028"/>
    <w:rsid w:val="661F4A8C"/>
    <w:rsid w:val="662C1828"/>
    <w:rsid w:val="66322C31"/>
    <w:rsid w:val="663670BC"/>
    <w:rsid w:val="66A97D2B"/>
    <w:rsid w:val="66B3796A"/>
    <w:rsid w:val="66CA14BA"/>
    <w:rsid w:val="66D2713B"/>
    <w:rsid w:val="66DA38ED"/>
    <w:rsid w:val="66E539D3"/>
    <w:rsid w:val="66F91F80"/>
    <w:rsid w:val="67190617"/>
    <w:rsid w:val="671A22FA"/>
    <w:rsid w:val="672504FD"/>
    <w:rsid w:val="67370CCF"/>
    <w:rsid w:val="673D00CE"/>
    <w:rsid w:val="67475655"/>
    <w:rsid w:val="67842040"/>
    <w:rsid w:val="679531E0"/>
    <w:rsid w:val="679B50B2"/>
    <w:rsid w:val="67A51214"/>
    <w:rsid w:val="67B0279F"/>
    <w:rsid w:val="67DB02C3"/>
    <w:rsid w:val="67EE06E2"/>
    <w:rsid w:val="67F62EBF"/>
    <w:rsid w:val="67FF5D09"/>
    <w:rsid w:val="681B5256"/>
    <w:rsid w:val="682819AA"/>
    <w:rsid w:val="684C294F"/>
    <w:rsid w:val="68510CB6"/>
    <w:rsid w:val="687416F7"/>
    <w:rsid w:val="68A672CD"/>
    <w:rsid w:val="68AF032D"/>
    <w:rsid w:val="68C30EA8"/>
    <w:rsid w:val="68D15535"/>
    <w:rsid w:val="68EB6850"/>
    <w:rsid w:val="690A5242"/>
    <w:rsid w:val="69131FA9"/>
    <w:rsid w:val="691E4EA5"/>
    <w:rsid w:val="693A3722"/>
    <w:rsid w:val="693E491B"/>
    <w:rsid w:val="69737D5A"/>
    <w:rsid w:val="69BF2AFC"/>
    <w:rsid w:val="69C8205F"/>
    <w:rsid w:val="69EB4820"/>
    <w:rsid w:val="69F12B63"/>
    <w:rsid w:val="6A6D3AE6"/>
    <w:rsid w:val="6A955D80"/>
    <w:rsid w:val="6A9637E9"/>
    <w:rsid w:val="6ABC569A"/>
    <w:rsid w:val="6ABF182E"/>
    <w:rsid w:val="6AC545F8"/>
    <w:rsid w:val="6AD12BFB"/>
    <w:rsid w:val="6ADC3F39"/>
    <w:rsid w:val="6AE51E49"/>
    <w:rsid w:val="6AEF1CFF"/>
    <w:rsid w:val="6B0112C3"/>
    <w:rsid w:val="6B077D5D"/>
    <w:rsid w:val="6B56070F"/>
    <w:rsid w:val="6B6A09AE"/>
    <w:rsid w:val="6B7435E3"/>
    <w:rsid w:val="6B7F65F7"/>
    <w:rsid w:val="6BC07A54"/>
    <w:rsid w:val="6C221BA1"/>
    <w:rsid w:val="6C243A14"/>
    <w:rsid w:val="6C272609"/>
    <w:rsid w:val="6C35467E"/>
    <w:rsid w:val="6C3B136E"/>
    <w:rsid w:val="6C503774"/>
    <w:rsid w:val="6C550E68"/>
    <w:rsid w:val="6C642F0F"/>
    <w:rsid w:val="6C7C2CCC"/>
    <w:rsid w:val="6C927EFA"/>
    <w:rsid w:val="6CE5030D"/>
    <w:rsid w:val="6D0947A4"/>
    <w:rsid w:val="6D112695"/>
    <w:rsid w:val="6D3866B5"/>
    <w:rsid w:val="6D4B5B59"/>
    <w:rsid w:val="6D4D109C"/>
    <w:rsid w:val="6D4E6836"/>
    <w:rsid w:val="6D637383"/>
    <w:rsid w:val="6D704CA6"/>
    <w:rsid w:val="6D8600A4"/>
    <w:rsid w:val="6D907C72"/>
    <w:rsid w:val="6D9B06B2"/>
    <w:rsid w:val="6DA55017"/>
    <w:rsid w:val="6DB02927"/>
    <w:rsid w:val="6DB61CE7"/>
    <w:rsid w:val="6DB83FF9"/>
    <w:rsid w:val="6DD80B03"/>
    <w:rsid w:val="6DDF4AA9"/>
    <w:rsid w:val="6DE96E3B"/>
    <w:rsid w:val="6DF77E03"/>
    <w:rsid w:val="6DFC3A16"/>
    <w:rsid w:val="6E12189D"/>
    <w:rsid w:val="6E3C08E3"/>
    <w:rsid w:val="6E3E14F6"/>
    <w:rsid w:val="6E4933B4"/>
    <w:rsid w:val="6E652ECF"/>
    <w:rsid w:val="6E691ADF"/>
    <w:rsid w:val="6E825A12"/>
    <w:rsid w:val="6E9B068F"/>
    <w:rsid w:val="6EA57AC0"/>
    <w:rsid w:val="6EA646B3"/>
    <w:rsid w:val="6EB766EA"/>
    <w:rsid w:val="6ECD59D1"/>
    <w:rsid w:val="6ECF1556"/>
    <w:rsid w:val="6EDF3A78"/>
    <w:rsid w:val="6EE31954"/>
    <w:rsid w:val="6EEA69AD"/>
    <w:rsid w:val="6EEF23D2"/>
    <w:rsid w:val="6EF914D3"/>
    <w:rsid w:val="6F092856"/>
    <w:rsid w:val="6F096608"/>
    <w:rsid w:val="6F2612CB"/>
    <w:rsid w:val="6F330E17"/>
    <w:rsid w:val="6F3B2766"/>
    <w:rsid w:val="6F455599"/>
    <w:rsid w:val="6F5754FE"/>
    <w:rsid w:val="6F63285F"/>
    <w:rsid w:val="6F635638"/>
    <w:rsid w:val="6F6A5338"/>
    <w:rsid w:val="6FA10F50"/>
    <w:rsid w:val="6FA914A1"/>
    <w:rsid w:val="6FB537E0"/>
    <w:rsid w:val="6FBD52E1"/>
    <w:rsid w:val="6FD83F31"/>
    <w:rsid w:val="6FFA2592"/>
    <w:rsid w:val="700003CB"/>
    <w:rsid w:val="70002187"/>
    <w:rsid w:val="702002A6"/>
    <w:rsid w:val="702114A1"/>
    <w:rsid w:val="702F2AD3"/>
    <w:rsid w:val="705B068F"/>
    <w:rsid w:val="70AB0530"/>
    <w:rsid w:val="70B97470"/>
    <w:rsid w:val="70DD68A6"/>
    <w:rsid w:val="70DE7753"/>
    <w:rsid w:val="7125670E"/>
    <w:rsid w:val="7126325C"/>
    <w:rsid w:val="712957D0"/>
    <w:rsid w:val="71445846"/>
    <w:rsid w:val="71455BE0"/>
    <w:rsid w:val="71594648"/>
    <w:rsid w:val="7164456F"/>
    <w:rsid w:val="7165700A"/>
    <w:rsid w:val="716E7F2C"/>
    <w:rsid w:val="718975DF"/>
    <w:rsid w:val="719420A4"/>
    <w:rsid w:val="71AB5C25"/>
    <w:rsid w:val="71B015B7"/>
    <w:rsid w:val="71B75B05"/>
    <w:rsid w:val="71D12047"/>
    <w:rsid w:val="71DF6186"/>
    <w:rsid w:val="71EF3CBF"/>
    <w:rsid w:val="71F61D9B"/>
    <w:rsid w:val="72032F9F"/>
    <w:rsid w:val="72116E05"/>
    <w:rsid w:val="721626AD"/>
    <w:rsid w:val="721A6010"/>
    <w:rsid w:val="72232174"/>
    <w:rsid w:val="722B4461"/>
    <w:rsid w:val="722D7A5A"/>
    <w:rsid w:val="72392AFF"/>
    <w:rsid w:val="72487F4C"/>
    <w:rsid w:val="72A4576A"/>
    <w:rsid w:val="72C47B93"/>
    <w:rsid w:val="72D57BD6"/>
    <w:rsid w:val="72E433AE"/>
    <w:rsid w:val="72EA65FF"/>
    <w:rsid w:val="72F40B21"/>
    <w:rsid w:val="731A4E5A"/>
    <w:rsid w:val="732660EF"/>
    <w:rsid w:val="732E0727"/>
    <w:rsid w:val="732E09E7"/>
    <w:rsid w:val="7344584B"/>
    <w:rsid w:val="734931C9"/>
    <w:rsid w:val="73534E25"/>
    <w:rsid w:val="735B78F8"/>
    <w:rsid w:val="736F0A24"/>
    <w:rsid w:val="73826A31"/>
    <w:rsid w:val="738720A4"/>
    <w:rsid w:val="73912D36"/>
    <w:rsid w:val="73974727"/>
    <w:rsid w:val="73BC157B"/>
    <w:rsid w:val="73CF6CBF"/>
    <w:rsid w:val="7400066B"/>
    <w:rsid w:val="74047258"/>
    <w:rsid w:val="743E371A"/>
    <w:rsid w:val="74571F7F"/>
    <w:rsid w:val="746D3781"/>
    <w:rsid w:val="746D383C"/>
    <w:rsid w:val="74737C27"/>
    <w:rsid w:val="74792034"/>
    <w:rsid w:val="748947A0"/>
    <w:rsid w:val="748B180F"/>
    <w:rsid w:val="748E1306"/>
    <w:rsid w:val="749116DD"/>
    <w:rsid w:val="74935E43"/>
    <w:rsid w:val="749465FE"/>
    <w:rsid w:val="749A39F9"/>
    <w:rsid w:val="74A42352"/>
    <w:rsid w:val="74DD6FD4"/>
    <w:rsid w:val="74FA3D3F"/>
    <w:rsid w:val="751653AF"/>
    <w:rsid w:val="751D2750"/>
    <w:rsid w:val="75214C28"/>
    <w:rsid w:val="752E6C82"/>
    <w:rsid w:val="753052E3"/>
    <w:rsid w:val="755E0B5C"/>
    <w:rsid w:val="75682C6A"/>
    <w:rsid w:val="756D4B24"/>
    <w:rsid w:val="75801658"/>
    <w:rsid w:val="758139F6"/>
    <w:rsid w:val="758450EB"/>
    <w:rsid w:val="759620C2"/>
    <w:rsid w:val="75A201C2"/>
    <w:rsid w:val="75A923DD"/>
    <w:rsid w:val="75B27DEE"/>
    <w:rsid w:val="75F6484E"/>
    <w:rsid w:val="76100F9C"/>
    <w:rsid w:val="761C77E3"/>
    <w:rsid w:val="763319DD"/>
    <w:rsid w:val="76474A7C"/>
    <w:rsid w:val="76634ADD"/>
    <w:rsid w:val="76737C49"/>
    <w:rsid w:val="76795718"/>
    <w:rsid w:val="769A66B3"/>
    <w:rsid w:val="76CE34CF"/>
    <w:rsid w:val="76DF1733"/>
    <w:rsid w:val="77152D3A"/>
    <w:rsid w:val="773203A3"/>
    <w:rsid w:val="774C27B2"/>
    <w:rsid w:val="774F3646"/>
    <w:rsid w:val="77544A0D"/>
    <w:rsid w:val="7755793A"/>
    <w:rsid w:val="775E594B"/>
    <w:rsid w:val="77644A76"/>
    <w:rsid w:val="77660BF5"/>
    <w:rsid w:val="777049D3"/>
    <w:rsid w:val="77BC3C79"/>
    <w:rsid w:val="77FB6863"/>
    <w:rsid w:val="78024622"/>
    <w:rsid w:val="78385125"/>
    <w:rsid w:val="784026A1"/>
    <w:rsid w:val="78491156"/>
    <w:rsid w:val="784E2454"/>
    <w:rsid w:val="7867705A"/>
    <w:rsid w:val="78734EEF"/>
    <w:rsid w:val="787F389F"/>
    <w:rsid w:val="78987D87"/>
    <w:rsid w:val="78A17FB1"/>
    <w:rsid w:val="78A32477"/>
    <w:rsid w:val="78A855CC"/>
    <w:rsid w:val="78AB4B3B"/>
    <w:rsid w:val="78BD6C6E"/>
    <w:rsid w:val="79065157"/>
    <w:rsid w:val="791A2CD2"/>
    <w:rsid w:val="792263CC"/>
    <w:rsid w:val="795947AE"/>
    <w:rsid w:val="795F78A8"/>
    <w:rsid w:val="79BD4FA4"/>
    <w:rsid w:val="79C049C3"/>
    <w:rsid w:val="79C33018"/>
    <w:rsid w:val="79CD50D2"/>
    <w:rsid w:val="79D548BC"/>
    <w:rsid w:val="7A0710AD"/>
    <w:rsid w:val="7A2176AF"/>
    <w:rsid w:val="7A471033"/>
    <w:rsid w:val="7A4940A2"/>
    <w:rsid w:val="7A5C19A6"/>
    <w:rsid w:val="7A6D2A85"/>
    <w:rsid w:val="7A800625"/>
    <w:rsid w:val="7A8952C5"/>
    <w:rsid w:val="7A913472"/>
    <w:rsid w:val="7A9777EA"/>
    <w:rsid w:val="7AB41355"/>
    <w:rsid w:val="7AFF3518"/>
    <w:rsid w:val="7B093923"/>
    <w:rsid w:val="7B4A621C"/>
    <w:rsid w:val="7B4C4888"/>
    <w:rsid w:val="7B4E629B"/>
    <w:rsid w:val="7B6E103F"/>
    <w:rsid w:val="7B7D6BEB"/>
    <w:rsid w:val="7B882DAB"/>
    <w:rsid w:val="7BA2549D"/>
    <w:rsid w:val="7BAC3D08"/>
    <w:rsid w:val="7BD656A5"/>
    <w:rsid w:val="7BFA5883"/>
    <w:rsid w:val="7C111DC9"/>
    <w:rsid w:val="7C1B6823"/>
    <w:rsid w:val="7C2C74E5"/>
    <w:rsid w:val="7C380A40"/>
    <w:rsid w:val="7C4D5096"/>
    <w:rsid w:val="7C4F3760"/>
    <w:rsid w:val="7C764741"/>
    <w:rsid w:val="7CA97F3C"/>
    <w:rsid w:val="7CFD0CBF"/>
    <w:rsid w:val="7CFF1C95"/>
    <w:rsid w:val="7D0B022B"/>
    <w:rsid w:val="7D1000C3"/>
    <w:rsid w:val="7D2C156F"/>
    <w:rsid w:val="7D2C3D09"/>
    <w:rsid w:val="7D310D83"/>
    <w:rsid w:val="7D313A3F"/>
    <w:rsid w:val="7D3B5399"/>
    <w:rsid w:val="7D495E5C"/>
    <w:rsid w:val="7D4E66D9"/>
    <w:rsid w:val="7D5B3C3C"/>
    <w:rsid w:val="7D85713C"/>
    <w:rsid w:val="7DB37DCE"/>
    <w:rsid w:val="7DD30767"/>
    <w:rsid w:val="7DD30F47"/>
    <w:rsid w:val="7DDF497E"/>
    <w:rsid w:val="7DE72188"/>
    <w:rsid w:val="7E183AB1"/>
    <w:rsid w:val="7E5163E0"/>
    <w:rsid w:val="7E67171D"/>
    <w:rsid w:val="7E6E6213"/>
    <w:rsid w:val="7E8666AA"/>
    <w:rsid w:val="7E8B219F"/>
    <w:rsid w:val="7E936DA2"/>
    <w:rsid w:val="7E9B4B92"/>
    <w:rsid w:val="7ED734E6"/>
    <w:rsid w:val="7EFC6269"/>
    <w:rsid w:val="7F1F2746"/>
    <w:rsid w:val="7F482C77"/>
    <w:rsid w:val="7F4A17D2"/>
    <w:rsid w:val="7F4B29BC"/>
    <w:rsid w:val="7F5E6B1E"/>
    <w:rsid w:val="7F896696"/>
    <w:rsid w:val="7F922BD7"/>
    <w:rsid w:val="7F9C493B"/>
    <w:rsid w:val="7F9D4225"/>
    <w:rsid w:val="7FCC61F3"/>
    <w:rsid w:val="7FCC68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880" w:firstLineChars="200"/>
    </w:pPr>
    <w:rPr>
      <w:rFonts w:ascii="Times New Roman" w:hAnsi="Times New Roman"/>
    </w:rPr>
  </w:style>
  <w:style w:type="paragraph" w:styleId="3">
    <w:name w:val="Body Text Indent"/>
    <w:basedOn w:val="1"/>
    <w:qFormat/>
    <w:uiPriority w:val="0"/>
    <w:pPr>
      <w:spacing w:after="120" w:afterLines="0"/>
      <w:ind w:left="420" w:leftChars="200"/>
    </w:pPr>
    <w:rPr>
      <w:kern w:val="2"/>
      <w:sz w:val="21"/>
      <w:szCs w:val="24"/>
    </w:rPr>
  </w:style>
  <w:style w:type="paragraph" w:styleId="4">
    <w:name w:val="Normal Indent"/>
    <w:basedOn w:val="1"/>
    <w:qFormat/>
    <w:uiPriority w:val="0"/>
    <w:pPr>
      <w:ind w:firstLine="420" w:firstLineChars="200"/>
    </w:pPr>
  </w:style>
  <w:style w:type="paragraph" w:styleId="5">
    <w:name w:val="annotation text"/>
    <w:basedOn w:val="1"/>
    <w:unhideWhenUsed/>
    <w:qFormat/>
    <w:uiPriority w:val="99"/>
    <w:pPr>
      <w:jc w:val="left"/>
    </w:pPr>
  </w:style>
  <w:style w:type="paragraph" w:styleId="6">
    <w:name w:val="Body Text"/>
    <w:basedOn w:val="1"/>
    <w:next w:val="1"/>
    <w:uiPriority w:val="0"/>
    <w:pPr>
      <w:spacing w:after="120"/>
    </w:pPr>
    <w:rPr>
      <w:rFonts w:ascii="Calibri" w:hAnsi="Calibri" w:eastAsia="宋体" w:cs="Times New Roman"/>
      <w:szCs w:val="24"/>
    </w:rPr>
  </w:style>
  <w:style w:type="paragraph" w:styleId="7">
    <w:name w:val="Date"/>
    <w:basedOn w:val="1"/>
    <w:next w:val="1"/>
    <w:qFormat/>
    <w:uiPriority w:val="0"/>
    <w:pPr>
      <w:ind w:left="100" w:leftChars="2500"/>
    </w:pPr>
  </w:style>
  <w:style w:type="paragraph" w:styleId="8">
    <w:name w:val="endnote text"/>
    <w:basedOn w:val="1"/>
    <w:link w:val="24"/>
    <w:unhideWhenUsed/>
    <w:qFormat/>
    <w:uiPriority w:val="0"/>
    <w:pPr>
      <w:snapToGrid w:val="0"/>
      <w:jc w:val="left"/>
    </w:p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3"/>
    <w:unhideWhenUsed/>
    <w:qFormat/>
    <w:uiPriority w:val="99"/>
    <w:pPr>
      <w:snapToGrid w:val="0"/>
      <w:jc w:val="left"/>
    </w:pPr>
    <w:rPr>
      <w:sz w:val="18"/>
      <w:szCs w:val="18"/>
    </w:rPr>
  </w:style>
  <w:style w:type="paragraph" w:styleId="1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Strong"/>
    <w:basedOn w:val="15"/>
    <w:qFormat/>
    <w:uiPriority w:val="0"/>
    <w:rPr>
      <w:b/>
    </w:rPr>
  </w:style>
  <w:style w:type="character" w:styleId="17">
    <w:name w:val="endnote reference"/>
    <w:basedOn w:val="15"/>
    <w:unhideWhenUsed/>
    <w:qFormat/>
    <w:uiPriority w:val="99"/>
    <w:rPr>
      <w:vertAlign w:val="superscript"/>
    </w:rPr>
  </w:style>
  <w:style w:type="character" w:styleId="18">
    <w:name w:val="page number"/>
    <w:basedOn w:val="15"/>
    <w:qFormat/>
    <w:uiPriority w:val="0"/>
  </w:style>
  <w:style w:type="character" w:styleId="19">
    <w:name w:val="FollowedHyperlink"/>
    <w:basedOn w:val="15"/>
    <w:unhideWhenUsed/>
    <w:qFormat/>
    <w:uiPriority w:val="99"/>
    <w:rPr>
      <w:color w:val="333333"/>
      <w:u w:val="none"/>
    </w:rPr>
  </w:style>
  <w:style w:type="character" w:styleId="20">
    <w:name w:val="Hyperlink"/>
    <w:basedOn w:val="15"/>
    <w:unhideWhenUsed/>
    <w:qFormat/>
    <w:uiPriority w:val="99"/>
    <w:rPr>
      <w:color w:val="0000CC"/>
      <w:u w:val="none"/>
    </w:rPr>
  </w:style>
  <w:style w:type="character" w:styleId="21">
    <w:name w:val="footnote reference"/>
    <w:basedOn w:val="15"/>
    <w:unhideWhenUsed/>
    <w:qFormat/>
    <w:uiPriority w:val="99"/>
    <w:rPr>
      <w:vertAlign w:val="superscript"/>
    </w:rPr>
  </w:style>
  <w:style w:type="character" w:customStyle="1" w:styleId="22">
    <w:name w:val="页眉 Char"/>
    <w:basedOn w:val="15"/>
    <w:link w:val="10"/>
    <w:semiHidden/>
    <w:qFormat/>
    <w:uiPriority w:val="99"/>
    <w:rPr>
      <w:sz w:val="18"/>
      <w:szCs w:val="18"/>
    </w:rPr>
  </w:style>
  <w:style w:type="character" w:customStyle="1" w:styleId="23">
    <w:name w:val="脚注文本 Char"/>
    <w:basedOn w:val="15"/>
    <w:link w:val="11"/>
    <w:semiHidden/>
    <w:qFormat/>
    <w:uiPriority w:val="99"/>
    <w:rPr>
      <w:kern w:val="2"/>
      <w:sz w:val="18"/>
      <w:szCs w:val="18"/>
    </w:rPr>
  </w:style>
  <w:style w:type="character" w:customStyle="1" w:styleId="24">
    <w:name w:val="尾注文本 Char"/>
    <w:basedOn w:val="15"/>
    <w:link w:val="8"/>
    <w:qFormat/>
    <w:uiPriority w:val="0"/>
    <w:rPr>
      <w:kern w:val="2"/>
      <w:sz w:val="21"/>
      <w:szCs w:val="22"/>
    </w:rPr>
  </w:style>
  <w:style w:type="character" w:customStyle="1" w:styleId="25">
    <w:name w:val="页脚 Char"/>
    <w:basedOn w:val="15"/>
    <w:link w:val="9"/>
    <w:qFormat/>
    <w:uiPriority w:val="99"/>
    <w:rPr>
      <w:sz w:val="18"/>
      <w:szCs w:val="18"/>
    </w:rPr>
  </w:style>
  <w:style w:type="paragraph" w:customStyle="1" w:styleId="26">
    <w:name w:val="默认段落字体 Para Char Char Char Char Char Char Char Char Char Char"/>
    <w:basedOn w:val="1"/>
    <w:qFormat/>
    <w:uiPriority w:val="0"/>
    <w:rPr>
      <w:rFonts w:ascii="Times New Roman" w:hAnsi="Times New Roman"/>
      <w:szCs w:val="24"/>
    </w:rPr>
  </w:style>
  <w:style w:type="paragraph" w:customStyle="1" w:styleId="27">
    <w:name w:val="Char Char Char Char Char Char Char Char Char"/>
    <w:basedOn w:val="1"/>
    <w:qFormat/>
    <w:uiPriority w:val="0"/>
    <w:pPr>
      <w:widowControl/>
      <w:spacing w:after="160" w:line="240" w:lineRule="exact"/>
      <w:jc w:val="left"/>
    </w:pPr>
    <w:rPr>
      <w:rFonts w:ascii="Times New Roman" w:hAnsi="Times New Roman" w:eastAsia="仿宋_GB2312"/>
      <w:sz w:val="32"/>
      <w:szCs w:val="20"/>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p0"/>
    <w:basedOn w:val="1"/>
    <w:qFormat/>
    <w:uiPriority w:val="0"/>
    <w:pPr>
      <w:widowControl/>
    </w:pPr>
    <w:rPr>
      <w:rFonts w:ascii="Times New Roman" w:hAnsi="Times New Roman"/>
      <w:kern w:val="0"/>
      <w:szCs w:val="21"/>
    </w:rPr>
  </w:style>
  <w:style w:type="paragraph" w:customStyle="1" w:styleId="31">
    <w:name w:val="p16"/>
    <w:basedOn w:val="1"/>
    <w:qFormat/>
    <w:uiPriority w:val="0"/>
    <w:pPr>
      <w:widowControl/>
    </w:pPr>
    <w:rPr>
      <w:rFonts w:ascii="Times New Roman" w:hAnsi="Times New Roman" w:eastAsia="方正仿宋简体"/>
      <w:kern w:val="0"/>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罗湖检查院</Company>
  <Pages>20</Pages>
  <Words>1448</Words>
  <Characters>8259</Characters>
  <Lines>68</Lines>
  <Paragraphs>19</Paragraphs>
  <TotalTime>24</TotalTime>
  <ScaleCrop>false</ScaleCrop>
  <LinksUpToDate>false</LinksUpToDate>
  <CharactersWithSpaces>9688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2019-12-16T02:35:00Z</dcterms:created>
  <dc:creator>办公室</dc:creator>
  <cp:lastModifiedBy>孙进河</cp:lastModifiedBy>
  <cp:lastPrinted>2021-12-21T03:28:24Z</cp:lastPrinted>
  <dcterms:modified xsi:type="dcterms:W3CDTF">2021-12-21T03:47:47Z</dcterms:modified>
  <dc:title>中共深圳市罗湖区人民检察院党组</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49E3354182A44635B5CEB561D702DEBE</vt:lpwstr>
  </property>
</Properties>
</file>