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rPr>
      </w:pPr>
      <w:r>
        <w:rPr>
          <w:rFonts w:hint="eastAsia" w:ascii="方正小标宋简体" w:hAnsi="方正小标宋简体" w:eastAsia="方正小标宋简体" w:cs="方正小标宋简体"/>
          <w:sz w:val="44"/>
          <w:szCs w:val="44"/>
          <w:highlight w:val="none"/>
          <w:lang w:eastAsia="zh-CN"/>
        </w:rPr>
        <w:t>深圳市罗湖区人民检察院工作报告</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楷体_GB2312" w:hAnsi="宋体" w:eastAsia="楷体_GB2312"/>
          <w:color w:val="000000"/>
          <w:sz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楷体_GB2312" w:hAnsi="宋体" w:eastAsia="楷体_GB2312"/>
          <w:color w:val="000000"/>
          <w:sz w:val="32"/>
          <w:highlight w:val="none"/>
        </w:rPr>
      </w:pPr>
      <w:r>
        <w:rPr>
          <w:rFonts w:hint="eastAsia" w:ascii="楷体_GB2312" w:hAnsi="宋体" w:eastAsia="楷体_GB2312"/>
          <w:color w:val="000000"/>
          <w:sz w:val="32"/>
          <w:highlight w:val="none"/>
        </w:rPr>
        <w:t>20</w:t>
      </w:r>
      <w:r>
        <w:rPr>
          <w:rFonts w:hint="eastAsia" w:ascii="楷体_GB2312" w:hAnsi="宋体" w:eastAsia="楷体_GB2312"/>
          <w:color w:val="000000"/>
          <w:sz w:val="32"/>
          <w:highlight w:val="none"/>
          <w:lang w:val="en-US" w:eastAsia="zh-CN"/>
        </w:rPr>
        <w:t>2</w:t>
      </w:r>
      <w:r>
        <w:rPr>
          <w:rFonts w:hint="default" w:ascii="楷体_GB2312" w:hAnsi="宋体" w:eastAsia="楷体_GB2312"/>
          <w:color w:val="000000"/>
          <w:sz w:val="32"/>
          <w:highlight w:val="none"/>
          <w:lang w:val="en-US" w:eastAsia="zh-CN"/>
        </w:rPr>
        <w:t>5</w:t>
      </w:r>
      <w:r>
        <w:rPr>
          <w:rFonts w:hint="eastAsia" w:ascii="楷体_GB2312" w:hAnsi="宋体" w:eastAsia="楷体_GB2312"/>
          <w:color w:val="000000"/>
          <w:sz w:val="32"/>
          <w:highlight w:val="none"/>
        </w:rPr>
        <w:t>年</w:t>
      </w:r>
      <w:r>
        <w:rPr>
          <w:rFonts w:hint="eastAsia" w:ascii="楷体_GB2312" w:hAnsi="宋体" w:eastAsia="楷体_GB2312"/>
          <w:color w:val="000000"/>
          <w:sz w:val="32"/>
          <w:highlight w:val="none"/>
          <w:lang w:val="en-US" w:eastAsia="zh-CN"/>
        </w:rPr>
        <w:t>3</w:t>
      </w:r>
      <w:r>
        <w:rPr>
          <w:rFonts w:hint="eastAsia" w:ascii="楷体_GB2312" w:hAnsi="宋体" w:eastAsia="楷体_GB2312"/>
          <w:color w:val="000000"/>
          <w:sz w:val="32"/>
          <w:highlight w:val="none"/>
        </w:rPr>
        <w:t>月</w:t>
      </w:r>
      <w:r>
        <w:rPr>
          <w:rFonts w:hint="eastAsia" w:ascii="楷体_GB2312" w:hAnsi="宋体" w:eastAsia="楷体_GB2312"/>
          <w:color w:val="000000"/>
          <w:sz w:val="32"/>
          <w:highlight w:val="none"/>
          <w:lang w:val="en-US" w:eastAsia="zh-CN"/>
        </w:rPr>
        <w:t>5</w:t>
      </w:r>
      <w:r>
        <w:rPr>
          <w:rFonts w:hint="eastAsia" w:ascii="楷体_GB2312" w:hAnsi="宋体" w:eastAsia="楷体_GB2312"/>
          <w:color w:val="000000"/>
          <w:sz w:val="32"/>
          <w:highlight w:val="none"/>
        </w:rPr>
        <w:t>日在深圳市罗湖区第</w:t>
      </w:r>
      <w:r>
        <w:rPr>
          <w:rFonts w:hint="eastAsia" w:ascii="楷体_GB2312" w:hAnsi="宋体" w:eastAsia="楷体_GB2312"/>
          <w:color w:val="000000"/>
          <w:sz w:val="32"/>
          <w:highlight w:val="none"/>
          <w:lang w:eastAsia="zh-CN"/>
        </w:rPr>
        <w:t>八</w:t>
      </w:r>
      <w:r>
        <w:rPr>
          <w:rFonts w:hint="eastAsia" w:ascii="楷体_GB2312" w:hAnsi="宋体" w:eastAsia="楷体_GB2312"/>
          <w:color w:val="000000"/>
          <w:sz w:val="32"/>
          <w:highlight w:val="none"/>
        </w:rPr>
        <w:t>届</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楷体_GB2312" w:hAnsi="宋体" w:eastAsia="楷体_GB2312"/>
          <w:color w:val="000000"/>
          <w:sz w:val="32"/>
          <w:highlight w:val="none"/>
        </w:rPr>
      </w:pPr>
      <w:r>
        <w:rPr>
          <w:rFonts w:hint="eastAsia" w:ascii="楷体_GB2312" w:hAnsi="宋体" w:eastAsia="楷体_GB2312"/>
          <w:color w:val="000000"/>
          <w:sz w:val="32"/>
          <w:highlight w:val="none"/>
        </w:rPr>
        <w:t>人民代表大会第</w:t>
      </w:r>
      <w:r>
        <w:rPr>
          <w:rFonts w:hint="eastAsia" w:ascii="楷体_GB2312" w:hAnsi="宋体" w:eastAsia="楷体_GB2312"/>
          <w:color w:val="000000"/>
          <w:sz w:val="32"/>
          <w:highlight w:val="none"/>
          <w:lang w:val="en-US" w:eastAsia="zh-CN"/>
        </w:rPr>
        <w:t>六</w:t>
      </w:r>
      <w:r>
        <w:rPr>
          <w:rFonts w:hint="eastAsia" w:ascii="楷体_GB2312" w:hAnsi="宋体" w:eastAsia="楷体_GB2312"/>
          <w:color w:val="000000"/>
          <w:sz w:val="32"/>
          <w:highlight w:val="none"/>
        </w:rPr>
        <w:t>次会议上</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outlineLvl w:val="0"/>
        <w:rPr>
          <w:rFonts w:hint="default" w:ascii="楷体_GB2312" w:hAnsi="宋体" w:eastAsia="楷体_GB2312"/>
          <w:color w:val="000000"/>
          <w:sz w:val="32"/>
          <w:highlight w:val="none"/>
          <w:lang w:val="en-US" w:eastAsia="zh-CN"/>
        </w:rPr>
      </w:pPr>
      <w:r>
        <w:rPr>
          <w:rFonts w:hint="eastAsia" w:ascii="楷体_GB2312" w:hAnsi="宋体" w:eastAsia="楷体_GB2312"/>
          <w:color w:val="000000"/>
          <w:sz w:val="32"/>
          <w:highlight w:val="none"/>
          <w:lang w:eastAsia="zh-CN"/>
        </w:rPr>
        <w:t>深圳市罗湖区人民检察院</w:t>
      </w:r>
      <w:r>
        <w:rPr>
          <w:rFonts w:hint="eastAsia" w:ascii="楷体_GB2312" w:hAnsi="宋体" w:eastAsia="楷体_GB2312"/>
          <w:color w:val="000000"/>
          <w:sz w:val="32"/>
          <w:highlight w:val="none"/>
        </w:rPr>
        <w:t xml:space="preserve">检察长  </w:t>
      </w:r>
      <w:r>
        <w:rPr>
          <w:rFonts w:hint="eastAsia" w:ascii="楷体_GB2312" w:hAnsi="宋体" w:eastAsia="楷体_GB2312"/>
          <w:color w:val="000000"/>
          <w:sz w:val="32"/>
          <w:highlight w:val="none"/>
          <w:lang w:val="en-US" w:eastAsia="zh-CN"/>
        </w:rPr>
        <w:t>张彬</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olor w:val="000000"/>
          <w:sz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宋体" w:eastAsia="仿宋_GB2312"/>
          <w:color w:val="000000"/>
          <w:sz w:val="32"/>
          <w:highlight w:val="none"/>
        </w:rPr>
      </w:pPr>
      <w:r>
        <w:rPr>
          <w:rFonts w:hint="eastAsia" w:ascii="仿宋_GB2312" w:hAnsi="宋体" w:eastAsia="仿宋_GB2312"/>
          <w:color w:val="000000"/>
          <w:sz w:val="32"/>
          <w:highlight w:val="none"/>
        </w:rPr>
        <w:t>各位代表：</w:t>
      </w:r>
    </w:p>
    <w:p>
      <w:pPr>
        <w:keepNext w:val="0"/>
        <w:keepLines w:val="0"/>
        <w:pageBreakBefore w:val="0"/>
        <w:widowControl w:val="0"/>
        <w:kinsoku/>
        <w:wordWrap/>
        <w:overflowPunct/>
        <w:topLinePunct w:val="0"/>
        <w:autoSpaceDE/>
        <w:autoSpaceDN/>
        <w:bidi w:val="0"/>
        <w:adjustRightInd w:val="0"/>
        <w:snapToGrid w:val="0"/>
        <w:spacing w:line="600" w:lineRule="exact"/>
        <w:ind w:firstLine="645"/>
        <w:textAlignment w:val="auto"/>
        <w:rPr>
          <w:rFonts w:hint="eastAsia" w:ascii="仿宋_GB2312" w:hAnsi="仿宋_GB2312" w:eastAsia="仿宋_GB2312" w:cs="仿宋_GB2312"/>
          <w:sz w:val="32"/>
          <w:szCs w:val="32"/>
          <w:highlight w:val="none"/>
          <w:lang w:eastAsia="zh-CN"/>
        </w:rPr>
      </w:pPr>
      <w:r>
        <w:rPr>
          <w:rFonts w:hint="eastAsia" w:ascii="仿宋_GB2312" w:hAnsi="宋体" w:eastAsia="仿宋_GB2312"/>
          <w:color w:val="000000"/>
          <w:sz w:val="32"/>
          <w:highlight w:val="none"/>
        </w:rPr>
        <w:t>现在，我向大会报告</w:t>
      </w:r>
      <w:r>
        <w:rPr>
          <w:rFonts w:hint="eastAsia" w:ascii="仿宋_GB2312" w:hAnsi="宋体" w:eastAsia="仿宋_GB2312"/>
          <w:color w:val="000000"/>
          <w:sz w:val="32"/>
          <w:highlight w:val="none"/>
          <w:lang w:eastAsia="zh-CN"/>
        </w:rPr>
        <w:t>区检察院</w:t>
      </w:r>
      <w:r>
        <w:rPr>
          <w:rFonts w:hint="eastAsia" w:ascii="仿宋_GB2312" w:hAnsi="宋体" w:eastAsia="仿宋_GB2312"/>
          <w:color w:val="000000"/>
          <w:sz w:val="32"/>
          <w:highlight w:val="none"/>
        </w:rPr>
        <w:t>工作，请予以审议，并请列席人员和旁听人员提出意见。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年，区检察院坚持以习近平新时</w:t>
      </w:r>
      <w:bookmarkStart w:id="0" w:name="_GoBack"/>
      <w:bookmarkEnd w:id="0"/>
      <w:r>
        <w:rPr>
          <w:rFonts w:hint="eastAsia" w:ascii="仿宋_GB2312" w:hAnsi="仿宋_GB2312" w:eastAsia="仿宋_GB2312" w:cs="仿宋_GB2312"/>
          <w:sz w:val="32"/>
          <w:szCs w:val="32"/>
          <w:highlight w:val="none"/>
          <w:lang w:eastAsia="zh-CN"/>
        </w:rPr>
        <w:t>代中国特色社会主义思想为指导，深入贯彻习近平法治思想，全面系统学习党的二十届三中全会精神，认真贯彻区委八届五次、六次全会安排及区八届人大四次、五次会议决定，突出“高质效办好每一个案件”，以高度的政治自觉、法治自觉、检察自觉，努力为罗湖建设“三力三区”和社会主义现代化可持续发展先锋城区提供更加优质的检察服务和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一、着眼中心大局，在服务辖区发展中践行检察担当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坚持党的中心工作推进到哪里，检察工作就跟进到哪里，始终从全区大局出发思考谋划检察工作，以依法履职维护稳定、促进发展、保障善治，助推平安罗湖、法治罗湖建设。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坚决维护社会安全稳定。</w:t>
      </w:r>
      <w:r>
        <w:rPr>
          <w:rFonts w:hint="eastAsia" w:ascii="仿宋_GB2312" w:hAnsi="仿宋_GB2312" w:eastAsia="仿宋_GB2312" w:cs="仿宋_GB2312"/>
          <w:sz w:val="32"/>
          <w:szCs w:val="32"/>
          <w:highlight w:val="none"/>
          <w:lang w:eastAsia="zh-CN"/>
        </w:rPr>
        <w:t>坚定不移贯彻总体国家安全观，依法惩治各类刑事犯罪，全年共受理审查逮捕1909人、审查起诉2124人，同比分别下降36.5%和1.3%，社会治安总体向好的发展态势保持不变。严厉打击诈骗、盗窃、伤害、性侵等影响群众安全感的犯罪，批捕482人、起诉643人。妥善办理涉泰国、老挝、缅甸等跨境电信诈骗案，批捕</w:t>
      </w:r>
      <w:r>
        <w:rPr>
          <w:rFonts w:hint="eastAsia" w:ascii="仿宋_GB2312" w:hAnsi="仿宋_GB2312" w:eastAsia="仿宋_GB2312" w:cs="仿宋_GB2312"/>
          <w:sz w:val="32"/>
          <w:szCs w:val="32"/>
          <w:highlight w:val="none"/>
          <w:lang w:val="en-US" w:eastAsia="zh-CN"/>
        </w:rPr>
        <w:t>74</w:t>
      </w:r>
      <w:r>
        <w:rPr>
          <w:rFonts w:hint="eastAsia" w:ascii="仿宋_GB2312" w:hAnsi="仿宋_GB2312" w:eastAsia="仿宋_GB2312" w:cs="仿宋_GB2312"/>
          <w:sz w:val="32"/>
          <w:szCs w:val="32"/>
          <w:highlight w:val="none"/>
          <w:lang w:eastAsia="zh-CN"/>
        </w:rPr>
        <w:t>人、起诉</w:t>
      </w:r>
      <w:r>
        <w:rPr>
          <w:rFonts w:hint="eastAsia" w:ascii="仿宋_GB2312" w:hAnsi="仿宋_GB2312" w:eastAsia="仿宋_GB2312" w:cs="仿宋_GB2312"/>
          <w:sz w:val="32"/>
          <w:szCs w:val="32"/>
          <w:highlight w:val="none"/>
          <w:lang w:val="en-US" w:eastAsia="zh-CN"/>
        </w:rPr>
        <w:t>137</w:t>
      </w:r>
      <w:r>
        <w:rPr>
          <w:rFonts w:hint="eastAsia" w:ascii="仿宋_GB2312" w:hAnsi="仿宋_GB2312" w:eastAsia="仿宋_GB2312" w:cs="仿宋_GB2312"/>
          <w:sz w:val="32"/>
          <w:szCs w:val="32"/>
          <w:highlight w:val="none"/>
          <w:lang w:eastAsia="zh-CN"/>
        </w:rPr>
        <w:t>人，对犯罪形成强有力的震慑。常态化开展扫黑除恶工作，办理“12.26系列寻衅滋事案”</w:t>
      </w:r>
      <w:r>
        <w:rPr>
          <w:rFonts w:hint="eastAsia" w:ascii="仿宋_GB2312" w:hAnsi="仿宋_GB2312" w:eastAsia="仿宋_GB2312" w:cs="仿宋_GB2312"/>
          <w:sz w:val="32"/>
          <w:szCs w:val="32"/>
          <w:highlight w:val="none"/>
          <w:vertAlign w:val="superscript"/>
          <w:lang w:val="en-US" w:eastAsia="zh-CN"/>
        </w:rPr>
        <w:t>1</w:t>
      </w:r>
      <w:r>
        <w:rPr>
          <w:rFonts w:hint="eastAsia" w:ascii="仿宋_GB2312" w:hAnsi="仿宋_GB2312" w:eastAsia="仿宋_GB2312" w:cs="仿宋_GB2312"/>
          <w:sz w:val="32"/>
          <w:szCs w:val="32"/>
          <w:highlight w:val="none"/>
          <w:lang w:eastAsia="zh-CN"/>
        </w:rPr>
        <w:t>，批捕</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eastAsia="zh-CN"/>
        </w:rPr>
        <w:t>人、起诉</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lang w:eastAsia="zh-CN"/>
        </w:rPr>
        <w:t>人，有力打击了使用“软暴力”手段催收欠款的恶势力犯罪团伙，</w:t>
      </w:r>
      <w:r>
        <w:rPr>
          <w:rFonts w:hint="eastAsia" w:ascii="仿宋_GB2312" w:hAnsi="仿宋_GB2312" w:eastAsia="仿宋_GB2312" w:cs="仿宋_GB2312"/>
          <w:sz w:val="32"/>
          <w:szCs w:val="32"/>
          <w:highlight w:val="none"/>
          <w:lang w:val="en-US" w:eastAsia="zh-CN"/>
        </w:rPr>
        <w:t>1名同志</w:t>
      </w:r>
      <w:r>
        <w:rPr>
          <w:rFonts w:hint="eastAsia" w:ascii="仿宋_GB2312" w:hAnsi="仿宋_GB2312" w:eastAsia="仿宋_GB2312" w:cs="仿宋_GB2312"/>
          <w:sz w:val="32"/>
          <w:szCs w:val="32"/>
          <w:highlight w:val="none"/>
          <w:lang w:eastAsia="zh-CN"/>
        </w:rPr>
        <w:t>入选全国检察机关常态化开展扫黑除恶斗争人才库。始终保持毒品犯罪严打高压态势，批捕45人、起诉55人，重点围绕依托咪酯等新型毒品开展预防宣传，持续释放从严惩治信号。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eastAsia="zh-CN"/>
        </w:rPr>
        <w:t>深化轻罪案件办理实践。</w:t>
      </w:r>
      <w:r>
        <w:rPr>
          <w:rFonts w:hint="eastAsia" w:ascii="仿宋_GB2312" w:hAnsi="仿宋_GB2312" w:eastAsia="仿宋_GB2312" w:cs="仿宋_GB2312"/>
          <w:sz w:val="32"/>
          <w:szCs w:val="32"/>
          <w:highlight w:val="none"/>
          <w:lang w:eastAsia="zh-CN"/>
        </w:rPr>
        <w:t>全面准确落实宽严相济刑事政策，对犯罪情节轻微、危害不大的案件不批捕985人、不起诉255人，</w:t>
      </w:r>
      <w:r>
        <w:rPr>
          <w:rFonts w:hint="eastAsia" w:ascii="仿宋_GB2312" w:hAnsi="仿宋_GB2312" w:eastAsia="仿宋_GB2312" w:cs="仿宋_GB2312"/>
          <w:sz w:val="32"/>
          <w:szCs w:val="32"/>
          <w:highlight w:val="none"/>
          <w:lang w:val="en-US" w:eastAsia="zh-CN"/>
        </w:rPr>
        <w:t>切实减少社会对立面、促进社会和谐稳定。全市首创“7+4+4”醉驾办案模式</w:t>
      </w:r>
      <w:r>
        <w:rPr>
          <w:rFonts w:hint="eastAsia" w:ascii="仿宋_GB2312" w:hAnsi="仿宋_GB2312" w:eastAsia="仿宋_GB2312" w:cs="仿宋_GB2312"/>
          <w:sz w:val="32"/>
          <w:szCs w:val="32"/>
          <w:highlight w:val="none"/>
          <w:vertAlign w:val="superscript"/>
          <w:lang w:val="en-US" w:eastAsia="zh-CN"/>
        </w:rPr>
        <w:t>2</w:t>
      </w:r>
      <w:r>
        <w:rPr>
          <w:rFonts w:hint="eastAsia" w:ascii="仿宋_GB2312" w:hAnsi="仿宋_GB2312" w:eastAsia="仿宋_GB2312" w:cs="仿宋_GB2312"/>
          <w:sz w:val="32"/>
          <w:szCs w:val="32"/>
          <w:highlight w:val="none"/>
          <w:lang w:val="en-US" w:eastAsia="zh-CN"/>
        </w:rPr>
        <w:t>，牵头区法院、区司法局会签工作指引，推动简案快办走向简案优办，实现醉驾案件从立案到审判15日内审结。建立健全轻微刑事案件办理机制，引入基层力量教育帮扶轻罪嫌疑人74人，促进其知罪悔罪、改过自新。推动全区首个“拾乐园”社会帮扶项目</w:t>
      </w:r>
      <w:r>
        <w:rPr>
          <w:rFonts w:hint="eastAsia" w:ascii="仿宋_GB2312" w:hAnsi="仿宋_GB2312" w:eastAsia="仿宋_GB2312" w:cs="仿宋_GB2312"/>
          <w:sz w:val="32"/>
          <w:szCs w:val="32"/>
          <w:highlight w:val="none"/>
          <w:vertAlign w:val="superscript"/>
          <w:lang w:val="en-US" w:eastAsia="zh-CN"/>
        </w:rPr>
        <w:t>3</w:t>
      </w:r>
      <w:r>
        <w:rPr>
          <w:rFonts w:hint="eastAsia" w:ascii="仿宋_GB2312" w:hAnsi="仿宋_GB2312" w:eastAsia="仿宋_GB2312" w:cs="仿宋_GB2312"/>
          <w:sz w:val="32"/>
          <w:szCs w:val="32"/>
          <w:highlight w:val="none"/>
          <w:lang w:val="en-US" w:eastAsia="zh-CN"/>
        </w:rPr>
        <w:t>落地，为面临困难的符合条件轻罪嫌疑人定制帮扶计划，通过提供基本生活保障和劳务技能培训，从源头上降低其再次违法犯罪的风险。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全力维护市场经济秩序。</w:t>
      </w:r>
      <w:r>
        <w:rPr>
          <w:rFonts w:hint="eastAsia" w:ascii="仿宋_GB2312" w:hAnsi="仿宋_GB2312" w:eastAsia="仿宋_GB2312" w:cs="仿宋_GB2312"/>
          <w:sz w:val="32"/>
          <w:szCs w:val="32"/>
          <w:highlight w:val="none"/>
          <w:lang w:eastAsia="zh-CN"/>
        </w:rPr>
        <w:t>制定防范经济金融风险向政治安全领域传导工作方案，全力防范重大风险隐患向政治领域蔓延。严厉打击非法集资、网络传销、合同诈骗、金融诈骗等社会危害严重、群众高度关注的经济犯罪，批捕84人、起诉152人。切实防范化解金融风险，提前介入“艾美”系列案</w:t>
      </w:r>
      <w:r>
        <w:rPr>
          <w:rFonts w:hint="eastAsia" w:ascii="仿宋_GB2312" w:hAnsi="仿宋_GB2312" w:eastAsia="仿宋_GB2312" w:cs="仿宋_GB2312"/>
          <w:sz w:val="32"/>
          <w:szCs w:val="32"/>
          <w:highlight w:val="none"/>
          <w:vertAlign w:val="superscript"/>
          <w:lang w:val="en-US" w:eastAsia="zh-CN"/>
        </w:rPr>
        <w:t>4</w:t>
      </w:r>
      <w:r>
        <w:rPr>
          <w:rFonts w:hint="eastAsia" w:ascii="仿宋_GB2312" w:hAnsi="仿宋_GB2312" w:eastAsia="仿宋_GB2312" w:cs="仿宋_GB2312"/>
          <w:sz w:val="32"/>
          <w:szCs w:val="32"/>
          <w:highlight w:val="none"/>
          <w:lang w:eastAsia="zh-CN"/>
        </w:rPr>
        <w:t>，深入引导侦查活动，批捕</w:t>
      </w:r>
      <w:r>
        <w:rPr>
          <w:rFonts w:hint="eastAsia" w:ascii="仿宋_GB2312" w:hAnsi="仿宋_GB2312" w:eastAsia="仿宋_GB2312" w:cs="仿宋_GB2312"/>
          <w:sz w:val="32"/>
          <w:szCs w:val="32"/>
          <w:highlight w:val="none"/>
          <w:lang w:val="en-US" w:eastAsia="zh-CN"/>
        </w:rPr>
        <w:t>8人、已起诉2人；妥善</w:t>
      </w:r>
      <w:r>
        <w:rPr>
          <w:rFonts w:hint="eastAsia" w:ascii="仿宋_GB2312" w:hAnsi="仿宋_GB2312" w:eastAsia="仿宋_GB2312" w:cs="仿宋_GB2312"/>
          <w:sz w:val="32"/>
          <w:szCs w:val="32"/>
          <w:highlight w:val="none"/>
          <w:lang w:eastAsia="zh-CN"/>
        </w:rPr>
        <w:t>办理黄金延期交易系列案，报案被害人近400人，涉案金额上亿元，通过制发检察建议促推重点行业行稳致远。坚持依法办案与追赃挽损相结合，在办理杨某某挪用资金案</w:t>
      </w:r>
      <w:r>
        <w:rPr>
          <w:rFonts w:hint="eastAsia" w:ascii="仿宋_GB2312" w:hAnsi="仿宋_GB2312" w:eastAsia="仿宋_GB2312" w:cs="仿宋_GB2312"/>
          <w:sz w:val="32"/>
          <w:szCs w:val="32"/>
          <w:highlight w:val="none"/>
          <w:vertAlign w:val="superscript"/>
          <w:lang w:val="en-US" w:eastAsia="zh-CN"/>
        </w:rPr>
        <w:t>5</w:t>
      </w:r>
      <w:r>
        <w:rPr>
          <w:rFonts w:hint="eastAsia" w:ascii="仿宋_GB2312" w:hAnsi="仿宋_GB2312" w:eastAsia="仿宋_GB2312" w:cs="仿宋_GB2312"/>
          <w:sz w:val="32"/>
          <w:szCs w:val="32"/>
          <w:highlight w:val="none"/>
          <w:lang w:eastAsia="zh-CN"/>
        </w:rPr>
        <w:t>中，积极搭建沟通桥梁，促成被告人在判决前向被害企业全额退赔涉案钱款2.2亿余元。深入推进知识产权综合保护，结合“</w:t>
      </w:r>
      <w:r>
        <w:rPr>
          <w:rFonts w:hint="eastAsia" w:ascii="仿宋_GB2312" w:hAnsi="仿宋_GB2312" w:eastAsia="仿宋_GB2312" w:cs="仿宋_GB2312"/>
          <w:sz w:val="32"/>
          <w:szCs w:val="32"/>
          <w:highlight w:val="none"/>
          <w:lang w:val="en-US" w:eastAsia="zh-CN"/>
        </w:rPr>
        <w:t>4.26</w:t>
      </w:r>
      <w:r>
        <w:rPr>
          <w:rFonts w:hint="eastAsia" w:ascii="仿宋_GB2312" w:hAnsi="仿宋_GB2312" w:eastAsia="仿宋_GB2312" w:cs="仿宋_GB2312"/>
          <w:sz w:val="32"/>
          <w:szCs w:val="32"/>
          <w:highlight w:val="none"/>
          <w:lang w:eastAsia="zh-CN"/>
        </w:rPr>
        <w:t>”知识产权日在水贝商圈举办专题讲座，依法起诉侵犯知识产权犯罪</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件</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lang w:eastAsia="zh-CN"/>
        </w:rPr>
        <w:t>人，办理的全市首例知识产权刑事附带民事诉讼适用惩罚性赔偿案件，</w:t>
      </w:r>
      <w:r>
        <w:rPr>
          <w:rFonts w:hint="default" w:ascii="仿宋_GB2312" w:hAnsi="仿宋_GB2312" w:eastAsia="仿宋_GB2312" w:cs="仿宋_GB2312"/>
          <w:sz w:val="32"/>
          <w:szCs w:val="32"/>
          <w:highlight w:val="none"/>
          <w:lang w:val="en-US" w:eastAsia="zh-CN"/>
        </w:rPr>
        <w:t>入选全省知识产权刑事典型</w:t>
      </w:r>
      <w:r>
        <w:rPr>
          <w:rFonts w:hint="eastAsia" w:ascii="仿宋_GB2312" w:hAnsi="仿宋_GB2312" w:eastAsia="仿宋_GB2312" w:cs="仿宋_GB2312"/>
          <w:sz w:val="32"/>
          <w:szCs w:val="32"/>
          <w:highlight w:val="none"/>
          <w:lang w:eastAsia="zh-CN"/>
        </w:rPr>
        <w:t>案例。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依法平等保护市场主体。</w:t>
      </w:r>
      <w:r>
        <w:rPr>
          <w:rFonts w:hint="eastAsia" w:ascii="仿宋_GB2312" w:hAnsi="仿宋_GB2312" w:eastAsia="仿宋_GB2312" w:cs="仿宋_GB2312"/>
          <w:b w:val="0"/>
          <w:bCs w:val="0"/>
          <w:sz w:val="32"/>
          <w:szCs w:val="32"/>
          <w:highlight w:val="none"/>
          <w:lang w:eastAsia="zh-CN"/>
        </w:rPr>
        <w:t>积极</w:t>
      </w:r>
      <w:r>
        <w:rPr>
          <w:rFonts w:hint="eastAsia" w:ascii="仿宋_GB2312" w:hAnsi="仿宋_GB2312" w:eastAsia="仿宋_GB2312" w:cs="仿宋_GB2312"/>
          <w:sz w:val="32"/>
          <w:szCs w:val="32"/>
          <w:highlight w:val="none"/>
          <w:lang w:eastAsia="zh-CN"/>
        </w:rPr>
        <w:t>践行“法治是最好的营商环境”，深入开展“检察护企”专项行动</w:t>
      </w:r>
      <w:r>
        <w:rPr>
          <w:rFonts w:hint="eastAsia" w:ascii="仿宋_GB2312" w:hAnsi="仿宋_GB2312" w:eastAsia="仿宋_GB2312" w:cs="仿宋_GB2312"/>
          <w:sz w:val="32"/>
          <w:szCs w:val="32"/>
          <w:highlight w:val="none"/>
          <w:vertAlign w:val="superscript"/>
          <w:lang w:val="en-US" w:eastAsia="zh-CN"/>
        </w:rPr>
        <w:t>6</w:t>
      </w:r>
      <w:r>
        <w:rPr>
          <w:rFonts w:hint="eastAsia" w:ascii="仿宋_GB2312" w:hAnsi="仿宋_GB2312" w:eastAsia="仿宋_GB2312" w:cs="仿宋_GB2312"/>
          <w:sz w:val="32"/>
          <w:szCs w:val="32"/>
          <w:highlight w:val="none"/>
          <w:lang w:eastAsia="zh-CN"/>
        </w:rPr>
        <w:t>，以法治力量提升发展信心和预期。全面排查涉企刑事监督线索，依法监督撤销错误立案</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lang w:eastAsia="zh-CN"/>
        </w:rPr>
        <w:t>件。会同公安机关开展涉民营企业“挂案”专项清理，最大限度帮助企业“卸下包袱”轻装上阵。联合区工商联推出全市首个“护航+”检企服务站，创新设置法律服务、司法公开等多个模块，搭建企业家“法治会客厅”，面向园区企业开展法治宣讲</w:t>
      </w:r>
      <w:r>
        <w:rPr>
          <w:rFonts w:hint="eastAsia" w:ascii="仿宋_GB2312" w:hAnsi="仿宋_GB2312" w:eastAsia="仿宋_GB2312" w:cs="仿宋_GB2312"/>
          <w:sz w:val="32"/>
          <w:szCs w:val="32"/>
          <w:highlight w:val="none"/>
          <w:lang w:val="en-US" w:eastAsia="zh-CN"/>
        </w:rPr>
        <w:t>8场</w:t>
      </w:r>
      <w:r>
        <w:rPr>
          <w:rFonts w:hint="eastAsia" w:ascii="仿宋_GB2312" w:hAnsi="仿宋_GB2312" w:eastAsia="仿宋_GB2312" w:cs="仿宋_GB2312"/>
          <w:sz w:val="32"/>
          <w:szCs w:val="32"/>
          <w:highlight w:val="none"/>
          <w:lang w:eastAsia="zh-CN"/>
        </w:rPr>
        <w:t>。针对民营企业常见多发刑事风险，结合《刑法修正案（十二）》相关法条变化，主动编纂《民营企业刑事法律风险防范手册》，向辖区企业发放近千册。积极参与“助力优化法治化营商环境线上直播”，携手市区两级人大代表宣传检察护企举措，直接参与人数超16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二、站稳人民立场，在做实司法为民中体现检察作为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始终把增进民生福祉作为检察工作的出发点和落脚点，深入开展“检护民生”专项行动</w:t>
      </w:r>
      <w:r>
        <w:rPr>
          <w:rFonts w:hint="eastAsia" w:ascii="仿宋_GB2312" w:hAnsi="仿宋_GB2312" w:eastAsia="仿宋_GB2312" w:cs="仿宋_GB2312"/>
          <w:sz w:val="32"/>
          <w:szCs w:val="32"/>
          <w:highlight w:val="none"/>
          <w:vertAlign w:val="superscript"/>
          <w:lang w:val="en-US" w:eastAsia="zh-CN"/>
        </w:rPr>
        <w:t>7</w:t>
      </w:r>
      <w:r>
        <w:rPr>
          <w:rFonts w:hint="eastAsia" w:ascii="仿宋_GB2312" w:hAnsi="仿宋_GB2312" w:eastAsia="仿宋_GB2312" w:cs="仿宋_GB2312"/>
          <w:sz w:val="32"/>
          <w:szCs w:val="32"/>
          <w:highlight w:val="none"/>
          <w:lang w:eastAsia="zh-CN"/>
        </w:rPr>
        <w:t>，做实人民群众可感受、能体验、得实惠的检察为民。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当好维护权益“暖心人”。</w:t>
      </w:r>
      <w:r>
        <w:rPr>
          <w:rFonts w:hint="eastAsia" w:ascii="仿宋_GB2312" w:hAnsi="仿宋_GB2312" w:eastAsia="仿宋_GB2312" w:cs="仿宋_GB2312"/>
          <w:b w:val="0"/>
          <w:bCs w:val="0"/>
          <w:sz w:val="32"/>
          <w:szCs w:val="32"/>
          <w:highlight w:val="none"/>
          <w:lang w:eastAsia="zh-CN"/>
        </w:rPr>
        <w:t>深入开展盗窃犯罪专项治理，从严打击职业惯犯、盗窃累犯、团伙犯罪等高发典型盗窃犯罪，批捕101人、起诉148人，守好人民群众“钱袋子”。</w:t>
      </w:r>
      <w:r>
        <w:rPr>
          <w:rFonts w:hint="eastAsia" w:ascii="仿宋_GB2312" w:hAnsi="仿宋_GB2312" w:eastAsia="仿宋_GB2312" w:cs="仿宋_GB2312"/>
          <w:sz w:val="32"/>
          <w:szCs w:val="32"/>
          <w:highlight w:val="none"/>
          <w:lang w:eastAsia="zh-CN"/>
        </w:rPr>
        <w:t>聚焦特殊困难群体保护，持续关注无障碍设施被占用、损坏等情况，立案3件，通过检察建议书督促相关部门妥善整改。积极维护农民工合法权益，对冒用农民工身份注册企业，以及欠薪案件中的不当终结本次执行等开展监督，为劳动者“护薪”“撑腰”。牵头与区教育、民政等八家单位联合会签工作衔接文件，推动司法救助与社会救助工作形成合力。坚持“应救尽救即救”理念，积极做好司法救助工作，共办理司法救助案件52件54人，发放司法救助金45.</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万元，重点救助妇女30人、未成年人9人，发放救助金32.6万元，救助总量位居全市各区前列。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搭好化解矛盾“连心桥”。</w:t>
      </w:r>
      <w:r>
        <w:rPr>
          <w:rFonts w:hint="eastAsia" w:ascii="仿宋_GB2312" w:hAnsi="仿宋_GB2312" w:eastAsia="仿宋_GB2312" w:cs="仿宋_GB2312"/>
          <w:sz w:val="32"/>
          <w:szCs w:val="32"/>
          <w:highlight w:val="none"/>
          <w:lang w:eastAsia="zh-CN"/>
        </w:rPr>
        <w:t>坚持和发展新时代“枫桥经验”，建设</w:t>
      </w:r>
      <w:r>
        <w:rPr>
          <w:rFonts w:hint="eastAsia" w:ascii="仿宋_GB2312" w:hAnsi="仿宋_GB2312" w:eastAsia="仿宋_GB2312" w:cs="仿宋_GB2312"/>
          <w:sz w:val="32"/>
          <w:szCs w:val="32"/>
          <w:highlight w:val="none"/>
          <w:lang w:val="en-US" w:eastAsia="zh-CN"/>
        </w:rPr>
        <w:t>12309电话服务中心，优化来电接听及办理流程，实现法律咨询及矛盾疏导一号通办，共受理群众控告、申诉、举报766件，</w:t>
      </w:r>
      <w:r>
        <w:rPr>
          <w:rFonts w:hint="eastAsia" w:ascii="仿宋_GB2312" w:hAnsi="仿宋_GB2312" w:eastAsia="仿宋_GB2312" w:cs="仿宋_GB2312"/>
          <w:sz w:val="32"/>
          <w:szCs w:val="32"/>
          <w:highlight w:val="none"/>
          <w:lang w:eastAsia="zh-CN"/>
        </w:rPr>
        <w:t>全部兑现“群众信访件件有回复”的庄严承诺。坚持“应听证、尽听证”，办理检察听证案件</w:t>
      </w:r>
      <w:r>
        <w:rPr>
          <w:rFonts w:hint="eastAsia" w:ascii="仿宋_GB2312" w:hAnsi="仿宋_GB2312" w:eastAsia="仿宋_GB2312" w:cs="仿宋_GB2312"/>
          <w:sz w:val="32"/>
          <w:szCs w:val="32"/>
          <w:highlight w:val="none"/>
          <w:lang w:val="en-US" w:eastAsia="zh-CN"/>
        </w:rPr>
        <w:t>197</w:t>
      </w:r>
      <w:r>
        <w:rPr>
          <w:rFonts w:hint="eastAsia" w:ascii="仿宋_GB2312" w:hAnsi="仿宋_GB2312" w:eastAsia="仿宋_GB2312" w:cs="仿宋_GB2312"/>
          <w:sz w:val="32"/>
          <w:szCs w:val="32"/>
          <w:highlight w:val="none"/>
          <w:lang w:eastAsia="zh-CN"/>
        </w:rPr>
        <w:t>件，同比上升</w:t>
      </w:r>
      <w:r>
        <w:rPr>
          <w:rFonts w:hint="eastAsia" w:ascii="仿宋_GB2312" w:hAnsi="仿宋_GB2312" w:eastAsia="仿宋_GB2312" w:cs="仿宋_GB2312"/>
          <w:sz w:val="32"/>
          <w:szCs w:val="32"/>
          <w:highlight w:val="none"/>
          <w:lang w:val="en-US" w:eastAsia="zh-CN"/>
        </w:rPr>
        <w:t>87.6</w:t>
      </w:r>
      <w:r>
        <w:rPr>
          <w:rFonts w:hint="eastAsia" w:ascii="仿宋_GB2312" w:hAnsi="仿宋_GB2312" w:eastAsia="仿宋_GB2312" w:cs="仿宋_GB2312"/>
          <w:sz w:val="32"/>
          <w:szCs w:val="32"/>
          <w:highlight w:val="none"/>
          <w:lang w:eastAsia="zh-CN"/>
        </w:rPr>
        <w:t>%，通过看得见、听得懂、感受得到的程序，让当事人解“法结”、化“心结”。积极参与“</w:t>
      </w:r>
      <w:r>
        <w:rPr>
          <w:rFonts w:hint="eastAsia" w:ascii="仿宋_GB2312" w:hAnsi="仿宋_GB2312" w:eastAsia="仿宋_GB2312" w:cs="仿宋_GB2312"/>
          <w:sz w:val="32"/>
          <w:szCs w:val="32"/>
          <w:highlight w:val="none"/>
          <w:lang w:val="en-US" w:eastAsia="zh-CN"/>
        </w:rPr>
        <w:t>1+6+N</w:t>
      </w:r>
      <w:r>
        <w:rPr>
          <w:rFonts w:hint="eastAsia" w:ascii="仿宋_GB2312" w:hAnsi="仿宋_GB2312" w:eastAsia="仿宋_GB2312" w:cs="仿宋_GB2312"/>
          <w:sz w:val="32"/>
          <w:szCs w:val="32"/>
          <w:highlight w:val="none"/>
          <w:lang w:eastAsia="zh-CN"/>
        </w:rPr>
        <w:t>”基层社会治理体系</w:t>
      </w:r>
      <w:r>
        <w:rPr>
          <w:rFonts w:hint="eastAsia" w:ascii="仿宋_GB2312" w:hAnsi="仿宋_GB2312" w:eastAsia="仿宋_GB2312" w:cs="仿宋_GB2312"/>
          <w:sz w:val="32"/>
          <w:szCs w:val="32"/>
          <w:highlight w:val="none"/>
          <w:vertAlign w:val="superscript"/>
          <w:lang w:val="en-US" w:eastAsia="zh-CN"/>
        </w:rPr>
        <w:t>8</w:t>
      </w:r>
      <w:r>
        <w:rPr>
          <w:rFonts w:hint="eastAsia" w:ascii="仿宋_GB2312" w:hAnsi="仿宋_GB2312" w:eastAsia="仿宋_GB2312" w:cs="仿宋_GB2312"/>
          <w:sz w:val="32"/>
          <w:szCs w:val="32"/>
          <w:highlight w:val="none"/>
          <w:lang w:eastAsia="zh-CN"/>
        </w:rPr>
        <w:t>建设，联合市律协成立“律师参与信访化解工作室”，在莲塘、清水河街道分别设立“清枫检影”检察工作站，聚焦常见、多发的轻微刑事案件，引入第三方调解力量，促成将矛盾风险化解在“家门口”。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凝聚护苗成长“向心力”。</w:t>
      </w:r>
      <w:r>
        <w:rPr>
          <w:rFonts w:hint="eastAsia" w:ascii="仿宋_GB2312" w:hAnsi="仿宋_GB2312" w:eastAsia="仿宋_GB2312" w:cs="仿宋_GB2312"/>
          <w:sz w:val="32"/>
          <w:szCs w:val="32"/>
          <w:highlight w:val="none"/>
          <w:lang w:eastAsia="zh-CN"/>
        </w:rPr>
        <w:t>依法从严打击侵害未成年人犯罪80件89人，案件数同比下降</w:t>
      </w:r>
      <w:r>
        <w:rPr>
          <w:rFonts w:hint="eastAsia" w:ascii="仿宋_GB2312" w:hAnsi="仿宋_GB2312" w:eastAsia="仿宋_GB2312" w:cs="仿宋_GB2312"/>
          <w:sz w:val="32"/>
          <w:szCs w:val="32"/>
          <w:highlight w:val="none"/>
          <w:lang w:val="en-US" w:eastAsia="zh-CN"/>
        </w:rPr>
        <w:t>40.7</w:t>
      </w:r>
      <w:r>
        <w:rPr>
          <w:rFonts w:hint="eastAsia" w:ascii="仿宋_GB2312" w:hAnsi="仿宋_GB2312" w:eastAsia="仿宋_GB2312" w:cs="仿宋_GB2312"/>
          <w:sz w:val="32"/>
          <w:szCs w:val="32"/>
          <w:highlight w:val="none"/>
          <w:lang w:eastAsia="zh-CN"/>
        </w:rPr>
        <w:t>%，其中性侵未成年人案件下降40.</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%，通过持续多年的综合履职和“零容忍”惩治，有效扭转犯罪多发态势。坚持“预防就是保护、惩治也是挽救”，落实罪错未成年人分级干预矫治机制，依法起诉涉罪未成年人10件11人，附条件不起诉</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人，移送专门学校就读</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人。切实履行法治副校长职责，指派33名检察官担任辖区42所中小学校法治副校长，实现法治教育全覆盖、常态化。积极开展社区成长环境综合治理，在外来务工人员集中的翠竹街道新村社区建设“杜鹃花语”检察服务站，助推“六大保护”</w:t>
      </w:r>
      <w:r>
        <w:rPr>
          <w:rFonts w:hint="eastAsia" w:ascii="仿宋_GB2312" w:hAnsi="仿宋_GB2312" w:eastAsia="仿宋_GB2312" w:cs="仿宋_GB2312"/>
          <w:sz w:val="32"/>
          <w:szCs w:val="32"/>
          <w:highlight w:val="none"/>
          <w:vertAlign w:val="superscript"/>
          <w:lang w:val="en-US" w:eastAsia="zh-CN"/>
        </w:rPr>
        <w:t>9</w:t>
      </w:r>
      <w:r>
        <w:rPr>
          <w:rFonts w:hint="eastAsia" w:ascii="仿宋_GB2312" w:hAnsi="仿宋_GB2312" w:eastAsia="仿宋_GB2312" w:cs="仿宋_GB2312"/>
          <w:sz w:val="32"/>
          <w:szCs w:val="32"/>
          <w:highlight w:val="none"/>
          <w:lang w:eastAsia="zh-CN"/>
        </w:rPr>
        <w:t>协同发力、护航成长。积极承办香港中小学生“法治罗湖行”活动，联合区妇联举办深港家庭检察开放日，通过宣传内地司法制度和检察文化助力“深港融合”，获《检察日报》头版报道。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三、聚焦主责主业，在提升监督质效中彰显检察价值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坚持固强补弱、一体推进，全年共办理刑事、民事、行政、公益诉讼等各类案件</w:t>
      </w:r>
      <w:r>
        <w:rPr>
          <w:rFonts w:hint="eastAsia" w:ascii="仿宋_GB2312" w:hAnsi="仿宋_GB2312" w:eastAsia="仿宋_GB2312" w:cs="仿宋_GB2312"/>
          <w:sz w:val="32"/>
          <w:szCs w:val="32"/>
          <w:highlight w:val="none"/>
          <w:lang w:val="en-US" w:eastAsia="zh-CN"/>
        </w:rPr>
        <w:t>3437</w:t>
      </w:r>
      <w:r>
        <w:rPr>
          <w:rFonts w:hint="eastAsia" w:ascii="仿宋_GB2312" w:hAnsi="仿宋_GB2312" w:eastAsia="仿宋_GB2312" w:cs="仿宋_GB2312"/>
          <w:sz w:val="32"/>
          <w:szCs w:val="32"/>
          <w:highlight w:val="none"/>
          <w:lang w:eastAsia="zh-CN"/>
        </w:rPr>
        <w:t>件，努力促进“四大检察”朝着更全面、更协调、更充分的方向健康发展。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刑事检察更加有为。</w:t>
      </w:r>
      <w:r>
        <w:rPr>
          <w:rFonts w:hint="eastAsia" w:ascii="仿宋_GB2312" w:hAnsi="仿宋_GB2312" w:eastAsia="仿宋_GB2312" w:cs="仿宋_GB2312"/>
          <w:sz w:val="32"/>
          <w:szCs w:val="32"/>
          <w:highlight w:val="none"/>
          <w:lang w:eastAsia="zh-CN"/>
        </w:rPr>
        <w:t>扎实推进侦查活动和立案监督，纠正不规范侦查行为</w:t>
      </w:r>
      <w:r>
        <w:rPr>
          <w:rFonts w:hint="eastAsia" w:ascii="仿宋_GB2312" w:hAnsi="仿宋_GB2312" w:eastAsia="仿宋_GB2312" w:cs="仿宋_GB2312"/>
          <w:sz w:val="32"/>
          <w:szCs w:val="32"/>
          <w:highlight w:val="none"/>
          <w:lang w:val="en-US" w:eastAsia="zh-CN"/>
        </w:rPr>
        <w:t>157</w:t>
      </w:r>
      <w:r>
        <w:rPr>
          <w:rFonts w:hint="eastAsia" w:ascii="仿宋_GB2312" w:hAnsi="仿宋_GB2312" w:eastAsia="仿宋_GB2312" w:cs="仿宋_GB2312"/>
          <w:sz w:val="32"/>
          <w:szCs w:val="32"/>
          <w:highlight w:val="none"/>
          <w:lang w:eastAsia="zh-CN"/>
        </w:rPr>
        <w:t>件，纠正漏捕、漏诉</w:t>
      </w:r>
      <w:r>
        <w:rPr>
          <w:rFonts w:hint="eastAsia" w:ascii="仿宋_GB2312" w:hAnsi="仿宋_GB2312" w:eastAsia="仿宋_GB2312" w:cs="仿宋_GB2312"/>
          <w:sz w:val="32"/>
          <w:szCs w:val="32"/>
          <w:highlight w:val="none"/>
          <w:lang w:val="en-US" w:eastAsia="zh-CN"/>
        </w:rPr>
        <w:t>51</w:t>
      </w:r>
      <w:r>
        <w:rPr>
          <w:rFonts w:hint="eastAsia" w:ascii="仿宋_GB2312" w:hAnsi="仿宋_GB2312" w:eastAsia="仿宋_GB2312" w:cs="仿宋_GB2312"/>
          <w:sz w:val="32"/>
          <w:szCs w:val="32"/>
          <w:highlight w:val="none"/>
          <w:lang w:eastAsia="zh-CN"/>
        </w:rPr>
        <w:t>人。强化刑事审判监督，针对判决适用法律不当、审判程序不规范等问题，依法提请抗诉</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件，制发监督文书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份。</w:t>
      </w:r>
      <w:r>
        <w:rPr>
          <w:rFonts w:hint="eastAsia" w:ascii="仿宋_GB2312" w:hAnsi="仿宋_GB2312" w:eastAsia="仿宋_GB2312" w:cs="仿宋_GB2312"/>
          <w:sz w:val="32"/>
          <w:szCs w:val="32"/>
          <w:highlight w:val="none"/>
          <w:lang w:val="en-US" w:eastAsia="zh-CN"/>
        </w:rPr>
        <w:t>强化刑事执行检察监督，积极配合省检察院巡回检察，依法开展涉企社区矫正对象外出请假专项监督，推动审批程序规范落实。</w:t>
      </w:r>
      <w:r>
        <w:rPr>
          <w:rFonts w:hint="eastAsia" w:ascii="仿宋_GB2312" w:hAnsi="仿宋_GB2312" w:eastAsia="仿宋_GB2312" w:cs="仿宋_GB2312"/>
          <w:sz w:val="32"/>
          <w:szCs w:val="32"/>
          <w:highlight w:val="none"/>
          <w:lang w:eastAsia="zh-CN"/>
        </w:rPr>
        <w:t>强化刑事申诉检察反向审视和监督职能，制发全市首份《纠正审理违法意见书》，促进涉法涉诉信访源头治理、系统治理。充分行使检察机关职务犯罪侦查权，立案侦查司法人员涉嫌玩忽职守犯罪案件，获省检察院表扬肯定。强化与监察机关协作配合，依法办理金融、医疗、招投标、旧城改造等领域职务犯罪案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人，为坚决打赢反腐败斗争攻坚战持久战不断贡献检察力量。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民事检察更加有力。</w:t>
      </w:r>
      <w:r>
        <w:rPr>
          <w:rFonts w:hint="eastAsia" w:ascii="仿宋_GB2312" w:hAnsi="仿宋_GB2312" w:eastAsia="仿宋_GB2312" w:cs="仿宋_GB2312"/>
          <w:sz w:val="32"/>
          <w:szCs w:val="32"/>
          <w:highlight w:val="none"/>
          <w:lang w:eastAsia="zh-CN"/>
        </w:rPr>
        <w:t>常态化办理生效裁判监督、审判程序违法监督、民事执行监督案件</w:t>
      </w:r>
      <w:r>
        <w:rPr>
          <w:rFonts w:hint="default" w:ascii="仿宋_GB2312" w:hAnsi="仿宋_GB2312" w:eastAsia="仿宋_GB2312" w:cs="仿宋_GB2312"/>
          <w:sz w:val="32"/>
          <w:szCs w:val="32"/>
          <w:highlight w:val="none"/>
          <w:lang w:val="en-US" w:eastAsia="zh-CN"/>
        </w:rPr>
        <w:t>81</w:t>
      </w:r>
      <w:r>
        <w:rPr>
          <w:rFonts w:hint="eastAsia" w:ascii="仿宋_GB2312" w:hAnsi="仿宋_GB2312" w:eastAsia="仿宋_GB2312" w:cs="仿宋_GB2312"/>
          <w:sz w:val="32"/>
          <w:szCs w:val="32"/>
          <w:highlight w:val="none"/>
          <w:lang w:eastAsia="zh-CN"/>
        </w:rPr>
        <w:t>件，发出检察建议</w:t>
      </w:r>
      <w:r>
        <w:rPr>
          <w:rFonts w:hint="default"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lang w:eastAsia="zh-CN"/>
        </w:rPr>
        <w:t>件，采纳率达100%。其中，围绕“职业放贷人”合同纠纷、冒名骗取物流企业服务等案件，发出再审检察建议7份、审判违法行为监督检察建议5份，办案量位居全市第二。</w:t>
      </w:r>
      <w:r>
        <w:rPr>
          <w:rFonts w:hint="eastAsia" w:ascii="仿宋_GB2312" w:hAnsi="仿宋_GB2312" w:eastAsia="仿宋_GB2312" w:cs="仿宋_GB2312"/>
          <w:sz w:val="32"/>
          <w:szCs w:val="32"/>
          <w:highlight w:val="none"/>
          <w:lang w:val="en-US" w:eastAsia="zh-CN"/>
        </w:rPr>
        <w:t>对网约车骗取保险理赔款等虚假诉讼行为立案监督4件，对诉讼中的违法代理行为立案监督14件，</w:t>
      </w:r>
      <w:r>
        <w:rPr>
          <w:rFonts w:hint="eastAsia" w:ascii="仿宋_GB2312" w:hAnsi="仿宋_GB2312" w:eastAsia="仿宋_GB2312" w:cs="Arial"/>
          <w:color w:val="000000"/>
          <w:sz w:val="32"/>
          <w:szCs w:val="32"/>
          <w:highlight w:val="none"/>
          <w:lang w:val="en-US" w:eastAsia="zh-CN"/>
        </w:rPr>
        <w:t>对“恶意注销企业”规避执行行为立案监督5件，切实维护法律尊严和当事人合法权益。</w:t>
      </w:r>
      <w:r>
        <w:rPr>
          <w:rFonts w:hint="eastAsia" w:ascii="仿宋_GB2312" w:hAnsi="仿宋_GB2312" w:eastAsia="仿宋_GB2312" w:cs="仿宋_GB2312"/>
          <w:sz w:val="32"/>
          <w:szCs w:val="32"/>
          <w:highlight w:val="none"/>
          <w:lang w:eastAsia="zh-CN"/>
        </w:rPr>
        <w:t>积极推动检察环节定纷止争，办理的一起合同纠纷案被评为全市民事和解典型案例。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行政检察更加有序。</w:t>
      </w:r>
      <w:r>
        <w:rPr>
          <w:rFonts w:hint="eastAsia" w:ascii="仿宋_GB2312" w:hAnsi="仿宋_GB2312" w:eastAsia="仿宋_GB2312" w:cs="仿宋_GB2312"/>
          <w:sz w:val="32"/>
          <w:szCs w:val="32"/>
          <w:highlight w:val="none"/>
          <w:lang w:eastAsia="zh-CN"/>
        </w:rPr>
        <w:t>秉持监督与支持并重，积极参与法治政府建设，受理行政监督案件</w:t>
      </w:r>
      <w:r>
        <w:rPr>
          <w:rFonts w:hint="eastAsia" w:ascii="仿宋_GB2312" w:hAnsi="仿宋_GB2312" w:eastAsia="仿宋_GB2312" w:cs="仿宋_GB2312"/>
          <w:sz w:val="32"/>
          <w:szCs w:val="32"/>
          <w:highlight w:val="none"/>
          <w:lang w:val="en-US" w:eastAsia="zh-CN"/>
        </w:rPr>
        <w:t>315</w:t>
      </w:r>
      <w:r>
        <w:rPr>
          <w:rFonts w:hint="eastAsia" w:ascii="仿宋_GB2312" w:hAnsi="仿宋_GB2312" w:eastAsia="仿宋_GB2312" w:cs="仿宋_GB2312"/>
          <w:sz w:val="32"/>
          <w:szCs w:val="32"/>
          <w:highlight w:val="none"/>
          <w:lang w:eastAsia="zh-CN"/>
        </w:rPr>
        <w:t>件，发出检察建议</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份，其中监督行政违法行为</w:t>
      </w:r>
      <w:r>
        <w:rPr>
          <w:rFonts w:hint="eastAsia" w:ascii="仿宋_GB2312" w:hAnsi="仿宋_GB2312" w:eastAsia="仿宋_GB2312" w:cs="仿宋_GB2312"/>
          <w:sz w:val="32"/>
          <w:szCs w:val="32"/>
          <w:highlight w:val="none"/>
          <w:lang w:val="en-US" w:eastAsia="zh-CN"/>
        </w:rPr>
        <w:t>99件，位居全市第一</w:t>
      </w:r>
      <w:r>
        <w:rPr>
          <w:rFonts w:hint="eastAsia" w:ascii="仿宋_GB2312" w:hAnsi="仿宋_GB2312" w:eastAsia="仿宋_GB2312" w:cs="仿宋_GB2312"/>
          <w:sz w:val="32"/>
          <w:szCs w:val="32"/>
          <w:highlight w:val="none"/>
          <w:lang w:eastAsia="zh-CN"/>
        </w:rPr>
        <w:t>。扎实推进司法行政强制隔离戒毒检察监督</w:t>
      </w:r>
      <w:r>
        <w:rPr>
          <w:rFonts w:hint="eastAsia" w:ascii="仿宋_GB2312" w:hAnsi="仿宋_GB2312" w:eastAsia="仿宋_GB2312" w:cs="仿宋_GB2312"/>
          <w:sz w:val="32"/>
          <w:szCs w:val="32"/>
          <w:highlight w:val="none"/>
          <w:vertAlign w:val="superscript"/>
          <w:lang w:val="en-US" w:eastAsia="zh-CN"/>
        </w:rPr>
        <w:t>10</w:t>
      </w:r>
      <w:r>
        <w:rPr>
          <w:rFonts w:hint="eastAsia" w:ascii="仿宋_GB2312" w:hAnsi="仿宋_GB2312" w:eastAsia="仿宋_GB2312" w:cs="仿宋_GB2312"/>
          <w:sz w:val="32"/>
          <w:szCs w:val="32"/>
          <w:highlight w:val="none"/>
          <w:lang w:eastAsia="zh-CN"/>
        </w:rPr>
        <w:t>试点，办理强戒人员违规取得驾驶证等监督案件</w:t>
      </w:r>
      <w:r>
        <w:rPr>
          <w:rFonts w:hint="eastAsia" w:ascii="仿宋_GB2312" w:hAnsi="仿宋_GB2312" w:eastAsia="仿宋_GB2312" w:cs="仿宋_GB2312"/>
          <w:sz w:val="32"/>
          <w:szCs w:val="32"/>
          <w:highlight w:val="none"/>
          <w:lang w:val="en-US" w:eastAsia="zh-CN"/>
        </w:rPr>
        <w:t>69件，相关经验</w:t>
      </w:r>
      <w:r>
        <w:rPr>
          <w:rFonts w:hint="eastAsia" w:ascii="仿宋_GB2312" w:hAnsi="仿宋_GB2312" w:eastAsia="仿宋_GB2312" w:cs="仿宋_GB2312"/>
          <w:sz w:val="32"/>
          <w:szCs w:val="32"/>
          <w:highlight w:val="none"/>
          <w:lang w:eastAsia="zh-CN"/>
        </w:rPr>
        <w:t>获最高检引用推广。深入推进行政争议实质性化解，依法为辖区企业免除“形式合法但明显不合理”的行政处罚100余万元，助力走出经营困境，案件被省检察院作为“检察护企”典型案例刊发。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highlight w:val="none"/>
          <w:lang w:eastAsia="zh-CN"/>
        </w:rPr>
      </w:pPr>
      <w:r>
        <w:rPr>
          <w:rFonts w:hint="eastAsia" w:ascii="楷体_GB2312" w:hAnsi="楷体_GB2312" w:eastAsia="楷体_GB2312" w:cs="楷体_GB2312"/>
          <w:b/>
          <w:bCs/>
          <w:sz w:val="32"/>
          <w:szCs w:val="32"/>
          <w:highlight w:val="none"/>
          <w:lang w:eastAsia="zh-CN"/>
        </w:rPr>
        <w:t>公益诉讼检察更加有感。</w:t>
      </w:r>
      <w:r>
        <w:rPr>
          <w:rFonts w:hint="eastAsia" w:ascii="仿宋_GB2312" w:hAnsi="仿宋_GB2312" w:eastAsia="仿宋_GB2312" w:cs="仿宋_GB2312"/>
          <w:sz w:val="32"/>
          <w:szCs w:val="32"/>
          <w:highlight w:val="none"/>
          <w:lang w:eastAsia="zh-CN"/>
        </w:rPr>
        <w:t>受理公益诉讼线索</w:t>
      </w:r>
      <w:r>
        <w:rPr>
          <w:rFonts w:hint="eastAsia" w:ascii="仿宋_GB2312" w:hAnsi="仿宋_GB2312" w:eastAsia="仿宋_GB2312" w:cs="仿宋_GB2312"/>
          <w:sz w:val="32"/>
          <w:szCs w:val="32"/>
          <w:highlight w:val="none"/>
          <w:lang w:val="en-US" w:eastAsia="zh-CN"/>
        </w:rPr>
        <w:t>52</w:t>
      </w:r>
      <w:r>
        <w:rPr>
          <w:rFonts w:hint="eastAsia" w:ascii="仿宋_GB2312" w:hAnsi="仿宋_GB2312" w:eastAsia="仿宋_GB2312" w:cs="仿宋_GB2312"/>
          <w:sz w:val="32"/>
          <w:szCs w:val="32"/>
          <w:highlight w:val="none"/>
          <w:lang w:eastAsia="zh-CN"/>
        </w:rPr>
        <w:t>条，立案监督</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lang w:eastAsia="zh-CN"/>
        </w:rPr>
        <w:t>件，发出检察建议6份，采纳率达100%。坚持以“诉”的确认体现司法价值引领，对许某某生产销售有毒有害食品案依法提出刑事附带民事公益诉讼。聚焦电动车治理难题，对违规占用机动车道、违规充电等安全隐患立案监督</w:t>
      </w:r>
      <w:r>
        <w:rPr>
          <w:rFonts w:hint="eastAsia" w:ascii="仿宋_GB2312" w:hAnsi="仿宋_GB2312" w:eastAsia="仿宋_GB2312" w:cs="仿宋_GB2312"/>
          <w:sz w:val="32"/>
          <w:szCs w:val="32"/>
          <w:highlight w:val="none"/>
          <w:lang w:val="en-US" w:eastAsia="zh-CN"/>
        </w:rPr>
        <w:t>10件，专项监督获评全市典型案例。着眼深港供水安全大局，对深圳水库周边污染隐患立案监督5件，依托</w:t>
      </w:r>
      <w:r>
        <w:rPr>
          <w:rFonts w:hint="eastAsia" w:ascii="仿宋_GB2312" w:hAnsi="仿宋_GB2312" w:eastAsia="仿宋_GB2312" w:cs="仿宋_GB2312"/>
          <w:sz w:val="32"/>
          <w:szCs w:val="32"/>
          <w:highlight w:val="none"/>
          <w:lang w:eastAsia="zh-CN"/>
        </w:rPr>
        <w:t>“回头看”确保水资源保护“常治长效”。针对市人民医院周边交通安全隐患，邀请公益诉讼观察员</w:t>
      </w:r>
      <w:r>
        <w:rPr>
          <w:rFonts w:hint="eastAsia" w:ascii="仿宋_GB2312" w:hAnsi="仿宋_GB2312" w:eastAsia="仿宋_GB2312" w:cs="仿宋_GB2312"/>
          <w:sz w:val="32"/>
          <w:szCs w:val="32"/>
          <w:highlight w:val="none"/>
          <w:vertAlign w:val="superscript"/>
          <w:lang w:val="en-US" w:eastAsia="zh-CN"/>
        </w:rPr>
        <w:t>11</w:t>
      </w:r>
      <w:r>
        <w:rPr>
          <w:rFonts w:hint="eastAsia" w:ascii="仿宋_GB2312" w:hAnsi="仿宋_GB2312" w:eastAsia="仿宋_GB2312" w:cs="仿宋_GB2312"/>
          <w:sz w:val="32"/>
          <w:szCs w:val="32"/>
          <w:highlight w:val="none"/>
          <w:lang w:eastAsia="zh-CN"/>
        </w:rPr>
        <w:t>参与现场考察、磋商座谈，督促行政机关对局部交通再优化，确保急救通道畅通。针对工地噪音污染影响学生备考问题，探索公益诉讼“简案快办”新机制，实现“当天调查、当天磋商、当天制发检察建议”，案例入选</w:t>
      </w:r>
      <w:r>
        <w:rPr>
          <w:rFonts w:hint="eastAsia" w:ascii="仿宋_GB2312" w:hAnsi="仿宋_GB2312" w:eastAsia="仿宋_GB2312" w:cs="仿宋_GB2312"/>
          <w:sz w:val="32"/>
          <w:szCs w:val="32"/>
          <w:highlight w:val="none"/>
          <w:lang w:val="en-US" w:eastAsia="zh-CN"/>
        </w:rPr>
        <w:t>最高检“高质效案件共享平台”。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数字检察更加有效。</w:t>
      </w:r>
      <w:r>
        <w:rPr>
          <w:rFonts w:hint="eastAsia" w:ascii="仿宋_GB2312" w:hAnsi="仿宋_GB2312" w:eastAsia="仿宋_GB2312" w:cs="仿宋_GB2312"/>
          <w:sz w:val="32"/>
          <w:szCs w:val="32"/>
          <w:highlight w:val="none"/>
          <w:lang w:eastAsia="zh-CN"/>
        </w:rPr>
        <w:t>积极落实数字检察战略，在大数据法律监督模型推广工作中长期位居全国一百强，获评全省模型应用优胜院。主动延伸法律监督触角，按照“个案办理-类案监督-系统治理”路径，自行构建大数据模型16个。其中，依托戒毒人员违法持有机动车驾驶证监督模型，从4700多宗戒毒案件中发现行政违法线索155条、立案69件，相关经验得到最高检、司法部表扬推广。依托区政数局城市数字孪生平台，构建轻罪案件办理图鉴模型，通过挖掘数据背后隐藏的关键信息，为精准开展社会治理提供数字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监督衔接更加紧密。</w:t>
      </w:r>
      <w:r>
        <w:rPr>
          <w:rFonts w:hint="eastAsia" w:ascii="仿宋_GB2312" w:hAnsi="仿宋_GB2312" w:eastAsia="仿宋_GB2312" w:cs="仿宋_GB2312"/>
          <w:sz w:val="32"/>
          <w:szCs w:val="32"/>
          <w:highlight w:val="none"/>
          <w:lang w:eastAsia="zh-CN"/>
        </w:rPr>
        <w:t>积极参与政法领域改革实践，联合区委政法委在全市率先印发执法监督与法律监督衔接工作办法，构建党委政法委牵头抓总、多方参与的执法司法监督工作格局。推动侦查监督与协作配合办公室实质化、规范化、长效化运作，打造具有罗湖特色的“1+2+3+4”工作体系</w:t>
      </w:r>
      <w:r>
        <w:rPr>
          <w:rFonts w:hint="eastAsia" w:ascii="仿宋_GB2312" w:hAnsi="仿宋_GB2312" w:eastAsia="仿宋_GB2312" w:cs="仿宋_GB2312"/>
          <w:sz w:val="32"/>
          <w:szCs w:val="32"/>
          <w:highlight w:val="none"/>
          <w:vertAlign w:val="superscript"/>
          <w:lang w:val="en-US" w:eastAsia="zh-CN"/>
        </w:rPr>
        <w:t>12</w:t>
      </w:r>
      <w:r>
        <w:rPr>
          <w:rFonts w:hint="eastAsia" w:ascii="仿宋_GB2312" w:hAnsi="仿宋_GB2312" w:eastAsia="仿宋_GB2312" w:cs="仿宋_GB2312"/>
          <w:sz w:val="32"/>
          <w:szCs w:val="32"/>
          <w:highlight w:val="none"/>
          <w:lang w:eastAsia="zh-CN"/>
        </w:rPr>
        <w:t>，通过繁简分流落实简案快办，审查逮捕、审查起诉平均时长同比分别下降45</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%和81.2%，让公平正义更好更快实现。持续关注刑事司法与行政执法制度保障刚性不足、线索移送不够顺畅等问题，移送行刑反向衔接案件</w:t>
      </w:r>
      <w:r>
        <w:rPr>
          <w:rFonts w:hint="eastAsia" w:ascii="仿宋_GB2312" w:hAnsi="仿宋_GB2312" w:eastAsia="仿宋_GB2312" w:cs="仿宋_GB2312"/>
          <w:sz w:val="32"/>
          <w:szCs w:val="32"/>
          <w:highlight w:val="none"/>
          <w:lang w:val="en-US" w:eastAsia="zh-CN"/>
        </w:rPr>
        <w:t>213件，提出检察意见139人，行政机关采纳意见133人，</w:t>
      </w:r>
      <w:r>
        <w:rPr>
          <w:rFonts w:hint="eastAsia" w:ascii="仿宋_GB2312" w:hAnsi="仿宋_GB2312" w:eastAsia="仿宋_GB2312" w:cs="仿宋_GB2312"/>
          <w:sz w:val="32"/>
          <w:szCs w:val="32"/>
          <w:highlight w:val="none"/>
          <w:lang w:eastAsia="zh-CN"/>
        </w:rPr>
        <w:t>把中央推进执法司法相互配合、相互制约的部署要求落到实处。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四、抓实科学管理，在推进队伍建设中激活检察动能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持之以恒建强队伍、提升素能、练好内功，不断夯实检察工作发展根基，锻造堪当时代重任的高素质专业化检察队伍。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eastAsia="zh-CN"/>
        </w:rPr>
        <w:t>以政治建设筑牢忠诚。</w:t>
      </w:r>
      <w:r>
        <w:rPr>
          <w:rFonts w:hint="eastAsia" w:ascii="仿宋_GB2312" w:hAnsi="仿宋_GB2312" w:eastAsia="仿宋_GB2312" w:cs="仿宋_GB2312"/>
          <w:sz w:val="32"/>
          <w:szCs w:val="32"/>
          <w:highlight w:val="none"/>
          <w:lang w:eastAsia="zh-CN"/>
        </w:rPr>
        <w:t>牢固树立政治机关意识，深入学习贯彻习近平总书记重要讲话重要指示精神，规范落实第一议题、党组理论学习中心组学习，用好党支部“三会一课”、青年理论学习小组学习机制，常态化开展党性教育和政治忠诚教育，集中开展年度政治轮训，让坚定拥护“两个确立”、坚决做到“两个维护”成为鲜明底色。认真贯彻落实《中国共产党政法工作条例》，严格执行重大事项、重大案件请示报告制度，确保检察工作的正确政治方向。着力提升党建工作质效，倾心打造“一支部一品牌”和支部党建宣传阵地，扎实推进党建与业务双融双促，第五检察部党支部获评“深圳市先进基层党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eastAsia="zh-CN"/>
        </w:rPr>
        <w:t>以正风肃纪严守底线。</w:t>
      </w:r>
      <w:r>
        <w:rPr>
          <w:rFonts w:hint="eastAsia" w:ascii="仿宋_GB2312" w:hAnsi="仿宋_GB2312" w:eastAsia="仿宋_GB2312" w:cs="仿宋_GB2312"/>
          <w:b w:val="0"/>
          <w:bCs w:val="0"/>
          <w:sz w:val="32"/>
          <w:szCs w:val="32"/>
          <w:highlight w:val="none"/>
          <w:lang w:eastAsia="zh-CN"/>
        </w:rPr>
        <w:t>扎实开展党纪学习教育，深入开展纪律作风建设提升年专项活动，加强案例警示教育，自觉推进检视整改，做到以案促学、以案促改，推动《中国共产党纪律处分条例》入脑入心。自觉接受“政治体检”，围绕市检察院专项政治督察反馈指出的问题，认真做好整改工作，以高质量整改实效推动全面从严治党治检向纵深发展。严格落实防止干预司法“三个规定”，坚持“逢问必录”，坚决杜绝违规过问或干预、插手检察办案等行为。健全谈心谈话工作机制，针对苗头性、倾向性问题及时开展谈话提醒，做到抓早抓小、防微杜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以素能提升夯实基础。</w:t>
      </w:r>
      <w:r>
        <w:rPr>
          <w:rFonts w:hint="eastAsia" w:ascii="仿宋_GB2312" w:hAnsi="仿宋_GB2312" w:eastAsia="仿宋_GB2312" w:cs="仿宋_GB2312"/>
          <w:b w:val="0"/>
          <w:bCs w:val="0"/>
          <w:sz w:val="32"/>
          <w:szCs w:val="32"/>
          <w:highlight w:val="none"/>
          <w:lang w:eastAsia="zh-CN"/>
        </w:rPr>
        <w:t>深化落实人才强检战略，依托“罗检大讲堂”“罗检融学堂”“奋进罗检·青春沙龙”“枢·心·管+”</w:t>
      </w:r>
      <w:r>
        <w:rPr>
          <w:rFonts w:hint="eastAsia" w:ascii="仿宋_GB2312" w:hAnsi="仿宋_GB2312" w:eastAsia="仿宋_GB2312" w:cs="仿宋_GB2312"/>
          <w:b w:val="0"/>
          <w:bCs w:val="0"/>
          <w:sz w:val="32"/>
          <w:szCs w:val="32"/>
          <w:highlight w:val="none"/>
          <w:vertAlign w:val="superscript"/>
          <w:lang w:val="en-US" w:eastAsia="zh-CN"/>
        </w:rPr>
        <w:t>13</w:t>
      </w:r>
      <w:r>
        <w:rPr>
          <w:rFonts w:hint="eastAsia" w:ascii="仿宋_GB2312" w:hAnsi="仿宋_GB2312" w:eastAsia="仿宋_GB2312" w:cs="仿宋_GB2312"/>
          <w:b w:val="0"/>
          <w:bCs w:val="0"/>
          <w:sz w:val="32"/>
          <w:szCs w:val="32"/>
          <w:highlight w:val="none"/>
          <w:lang w:eastAsia="zh-CN"/>
        </w:rPr>
        <w:t>等平台，不断强化业务培训，淬炼专业能力，举办各类专题培训和实训练兵30余次。持续深化检察理论研究，立省、市级课题9项，24篇论文先后在检察系统知名刊物、全国与省市范围学术会议上发表、获奖，连续六年获评全市检察理论研讨会“优秀组织奖”。积极加强先进典型培树，先后3人次在上级业务竞赛中获评标兵能手，16人次入选市级以上各类检察人才库，行政检察办案团队获评“全省检察机关优秀办案团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以阳光司法增进公信。</w:t>
      </w:r>
      <w:r>
        <w:rPr>
          <w:rFonts w:hint="eastAsia" w:ascii="仿宋_GB2312" w:hAnsi="仿宋_GB2312" w:eastAsia="仿宋_GB2312" w:cs="仿宋_GB2312"/>
          <w:sz w:val="32"/>
          <w:szCs w:val="32"/>
          <w:highlight w:val="none"/>
          <w:lang w:eastAsia="zh-CN"/>
        </w:rPr>
        <w:t>坚决践行全过程人民民主，主动邀请人大代表、政协委员参加检察开放日、法治宣讲、检察听证等活动</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lang w:eastAsia="zh-CN"/>
        </w:rPr>
        <w:t>场次</w:t>
      </w:r>
      <w:r>
        <w:rPr>
          <w:rFonts w:hint="eastAsia" w:ascii="仿宋_GB2312" w:hAnsi="仿宋_GB2312" w:eastAsia="仿宋_GB2312" w:cs="仿宋_GB2312"/>
          <w:sz w:val="32"/>
          <w:szCs w:val="32"/>
          <w:highlight w:val="none"/>
          <w:lang w:val="en-US" w:eastAsia="zh-CN"/>
        </w:rPr>
        <w:t>207</w:t>
      </w:r>
      <w:r>
        <w:rPr>
          <w:rFonts w:hint="eastAsia" w:ascii="仿宋_GB2312" w:hAnsi="仿宋_GB2312" w:eastAsia="仿宋_GB2312" w:cs="仿宋_GB2312"/>
          <w:sz w:val="32"/>
          <w:szCs w:val="32"/>
          <w:highlight w:val="none"/>
          <w:lang w:eastAsia="zh-CN"/>
        </w:rPr>
        <w:t>人次，人民监督员监督办案活动</w:t>
      </w:r>
      <w:r>
        <w:rPr>
          <w:rFonts w:hint="eastAsia" w:ascii="仿宋_GB2312" w:hAnsi="仿宋_GB2312" w:eastAsia="仿宋_GB2312" w:cs="仿宋_GB2312"/>
          <w:sz w:val="32"/>
          <w:szCs w:val="32"/>
          <w:highlight w:val="none"/>
          <w:lang w:val="en-US" w:eastAsia="zh-CN"/>
        </w:rPr>
        <w:t>178</w:t>
      </w:r>
      <w:r>
        <w:rPr>
          <w:rFonts w:hint="eastAsia" w:ascii="仿宋_GB2312" w:hAnsi="仿宋_GB2312" w:eastAsia="仿宋_GB2312" w:cs="仿宋_GB2312"/>
          <w:sz w:val="32"/>
          <w:szCs w:val="32"/>
          <w:highlight w:val="none"/>
          <w:lang w:eastAsia="zh-CN"/>
        </w:rPr>
        <w:t>件次。自觉接受社会监督，连续两年举办外部监督力量履职培训班，常态化发布案件程序性信息2308件，接受案件查询11035件次，安排律师阅卷1449件次，有效提升了司法活动的公信力。加强律师执业保障，挂牌设立全市首个“律师执业权益保障服务站”，与市律协、区司法局会签良性互动工作备忘录，为打造法律职业共同体、携手维护司法公正搭建检律互动桥梁。严格落实“谁执法谁普法”责任制，依托检察新媒体推送普法宣传作品</w:t>
      </w:r>
      <w:r>
        <w:rPr>
          <w:rFonts w:hint="eastAsia" w:ascii="仿宋_GB2312" w:hAnsi="仿宋_GB2312" w:eastAsia="仿宋_GB2312" w:cs="仿宋_GB2312"/>
          <w:sz w:val="32"/>
          <w:szCs w:val="32"/>
          <w:highlight w:val="none"/>
          <w:lang w:val="en-US" w:eastAsia="zh-CN"/>
        </w:rPr>
        <w:t>500</w:t>
      </w:r>
      <w:r>
        <w:rPr>
          <w:rFonts w:hint="eastAsia" w:ascii="仿宋_GB2312" w:hAnsi="仿宋_GB2312" w:eastAsia="仿宋_GB2312" w:cs="仿宋_GB2312"/>
          <w:sz w:val="32"/>
          <w:szCs w:val="32"/>
          <w:highlight w:val="none"/>
          <w:lang w:eastAsia="zh-CN"/>
        </w:rPr>
        <w:t>余篇，组织检察官送法到基层</w:t>
      </w:r>
      <w:r>
        <w:rPr>
          <w:rFonts w:hint="eastAsia" w:ascii="仿宋_GB2312" w:hAnsi="仿宋_GB2312" w:eastAsia="仿宋_GB2312" w:cs="仿宋_GB2312"/>
          <w:sz w:val="32"/>
          <w:szCs w:val="32"/>
          <w:highlight w:val="none"/>
          <w:lang w:val="en-US" w:eastAsia="zh-CN"/>
        </w:rPr>
        <w:t>51</w:t>
      </w:r>
      <w:r>
        <w:rPr>
          <w:rFonts w:hint="eastAsia" w:ascii="仿宋_GB2312" w:hAnsi="仿宋_GB2312" w:eastAsia="仿宋_GB2312" w:cs="仿宋_GB2312"/>
          <w:sz w:val="32"/>
          <w:szCs w:val="32"/>
          <w:highlight w:val="none"/>
          <w:lang w:eastAsia="zh-CN"/>
        </w:rPr>
        <w:t>场次，获评“</w:t>
      </w:r>
      <w:r>
        <w:rPr>
          <w:rFonts w:hint="eastAsia" w:ascii="仿宋_GB2312" w:hAnsi="仿宋_GB2312" w:eastAsia="仿宋_GB2312" w:cs="仿宋_GB2312"/>
          <w:sz w:val="32"/>
          <w:szCs w:val="32"/>
          <w:highlight w:val="none"/>
          <w:lang w:val="en-US" w:eastAsia="zh-CN"/>
        </w:rPr>
        <w:t>全国检察机关全媒体生产传播工作成绩突出单位</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位代表，过去一年检察工作稳步向前，得益于区委的坚强领导，得益于区人大及其常委会的有力监督，得益于区政府、区政协的大力支持，得益于社会各界的关心帮助和政法单位的协同配合。在此，我谨代表区检察院全体人员表示衷心的感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同时，我们也清醒地认识到，工作中还存在一些短板和不足,如：对标罗湖加快建设“三力三区”的新要求，检察工作服务大局、保障发展的积极性、主动性还需不断增强；与人民群众更高期待和法治需求相比，法律监督质效仍需进一步提高；面对“高质效办好每一个案件”的实践要求，在深化改革、强化管理上的创新实招还不够多；等等。对于这些问题，我们将在今后工作中紧盯不放，采取有力措施认真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年，我们</w:t>
      </w:r>
      <w:r>
        <w:rPr>
          <w:rFonts w:hint="eastAsia" w:ascii="黑体" w:hAnsi="黑体" w:eastAsia="黑体" w:cs="黑体"/>
          <w:sz w:val="32"/>
          <w:szCs w:val="32"/>
          <w:highlight w:val="none"/>
          <w:lang w:eastAsia="zh-CN"/>
        </w:rPr>
        <w:t>将坚持以习近平新时代中国特色社会主义思想为指导，认真践行习近平法治思想，全面贯彻落实党的二十大和二十届三中全会精神，聚焦推进中国式现代化这个最大政治，强化法律监督主责主业，一体抓实业务、案件、质量“三个管理”，坚持高质效办好每一个案件，在法治轨道上深化检察改革，自觉为大局服务、为人民司法、为法治担当，以更优检察履职为罗湖区打造高质量发展新高地提供坚实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一是矢志不渝强化政治引领。</w:t>
      </w:r>
      <w:r>
        <w:rPr>
          <w:rFonts w:hint="eastAsia" w:ascii="仿宋_GB2312" w:hAnsi="仿宋_GB2312" w:eastAsia="仿宋_GB2312" w:cs="仿宋_GB2312"/>
          <w:sz w:val="32"/>
          <w:szCs w:val="32"/>
          <w:highlight w:val="none"/>
          <w:lang w:eastAsia="zh-CN"/>
        </w:rPr>
        <w:t>坚持党对检察工作的绝对领导，深入学习宣传贯彻党的二十届三中全会精神，深学笃行习近平总书记关于进一步全面深化改革的一系列新思想、新观点、新论断，积极落实最高检《关于全面深化检察改革、进一步加强新时代检察工作的意见》，自觉服从服务于中国式现代化发展大局，通过落实检察改革确保自身严格依法办案、公正司法。全面落实意识形态工作责任制，筑牢意识形态安全防线，引导全体检察人员更加深刻领悟“两个确立”，做到“两个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二是坚持不懈服务发展大局。</w:t>
      </w:r>
      <w:r>
        <w:rPr>
          <w:rFonts w:hint="eastAsia" w:ascii="仿宋_GB2312" w:hAnsi="仿宋_GB2312" w:eastAsia="仿宋_GB2312" w:cs="仿宋_GB2312"/>
          <w:sz w:val="32"/>
          <w:szCs w:val="32"/>
          <w:highlight w:val="none"/>
          <w:lang w:eastAsia="zh-CN"/>
        </w:rPr>
        <w:t>深入贯彻总体国家安全观，常态化推进扫黑除恶斗争，积极参与“化解矛盾风险、维护社会稳定”专项治理，在检察办案中同步推动矛盾纠纷法治化实质性化解。</w:t>
      </w:r>
      <w:r>
        <w:rPr>
          <w:rFonts w:hint="eastAsia" w:ascii="仿宋_GB2312" w:hAnsi="仿宋_GB2312" w:eastAsia="仿宋_GB2312" w:cs="仿宋_GB2312"/>
          <w:b w:val="0"/>
          <w:bCs w:val="0"/>
          <w:sz w:val="32"/>
          <w:szCs w:val="32"/>
          <w:highlight w:val="none"/>
          <w:lang w:eastAsia="zh-CN"/>
        </w:rPr>
        <w:t>积极落实区八届三次党代会部署要求，</w:t>
      </w:r>
      <w:r>
        <w:rPr>
          <w:rFonts w:hint="eastAsia" w:ascii="仿宋_GB2312" w:hAnsi="仿宋_GB2312" w:eastAsia="仿宋_GB2312" w:cs="仿宋_GB2312"/>
          <w:sz w:val="32"/>
          <w:szCs w:val="32"/>
          <w:highlight w:val="none"/>
          <w:lang w:eastAsia="zh-CN"/>
        </w:rPr>
        <w:t>依法加强涉企案件监督，逐步扩大检企服务站辐射范围，依法平等保护不同所有制经营主体，切实防止和纠正利用行政、刑事手段干预经济纠纷，让法治化营商环境成色更浓、企业经营发展信心更足。持续加强知识产权司法保护，推动构建商业秘密协同保护机制，护航因地制宜发展新质生产力。充分借鉴党和国家监督体系中各类监督的优势，有效畅通“人大+检察”“政协</w:t>
      </w:r>
      <w:r>
        <w:rPr>
          <w:rFonts w:hint="eastAsia" w:ascii="仿宋_GB2312" w:hAnsi="仿宋_GB2312" w:eastAsia="仿宋_GB2312" w:cs="仿宋_GB2312"/>
          <w:sz w:val="32"/>
          <w:szCs w:val="32"/>
          <w:highlight w:val="none"/>
          <w:lang w:val="en-US" w:eastAsia="zh-CN"/>
        </w:rPr>
        <w:t>+检察</w:t>
      </w:r>
      <w:r>
        <w:rPr>
          <w:rFonts w:hint="eastAsia" w:ascii="仿宋_GB2312" w:hAnsi="仿宋_GB2312" w:eastAsia="仿宋_GB2312" w:cs="仿宋_GB2312"/>
          <w:sz w:val="32"/>
          <w:szCs w:val="32"/>
          <w:highlight w:val="none"/>
          <w:lang w:eastAsia="zh-CN"/>
        </w:rPr>
        <w:t>”“府检联动”等衔接协作渠道，不断扩大检察监督合力。聚焦粤港澳大湾区合作，结合罗湖毗邻香港、港人港企众多的区位特点，积极探索健全涉港人员犯罪案件办理机制。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三是凝心聚力增进民生福祉。</w:t>
      </w:r>
      <w:r>
        <w:rPr>
          <w:rFonts w:hint="eastAsia" w:ascii="仿宋_GB2312" w:hAnsi="仿宋_GB2312" w:eastAsia="仿宋_GB2312" w:cs="仿宋_GB2312"/>
          <w:sz w:val="32"/>
          <w:szCs w:val="32"/>
          <w:highlight w:val="none"/>
          <w:lang w:eastAsia="zh-CN"/>
        </w:rPr>
        <w:t>依法从重从严从快惩治重大恶性犯罪，有力震慑犯罪、安定人心、维护稳定，促进增强人民群众获得感幸福感安全感。进一步落实落细最高检“八号检察建议”</w:t>
      </w:r>
      <w:r>
        <w:rPr>
          <w:rFonts w:hint="eastAsia" w:ascii="仿宋_GB2312" w:hAnsi="仿宋_GB2312" w:eastAsia="仿宋_GB2312" w:cs="仿宋_GB2312"/>
          <w:sz w:val="32"/>
          <w:szCs w:val="32"/>
          <w:highlight w:val="none"/>
          <w:vertAlign w:val="superscript"/>
          <w:lang w:val="en-US" w:eastAsia="zh-CN"/>
        </w:rPr>
        <w:t>14</w:t>
      </w:r>
      <w:r>
        <w:rPr>
          <w:rFonts w:hint="eastAsia" w:ascii="仿宋_GB2312" w:hAnsi="仿宋_GB2312" w:eastAsia="仿宋_GB2312" w:cs="仿宋_GB2312"/>
          <w:sz w:val="32"/>
          <w:szCs w:val="32"/>
          <w:highlight w:val="none"/>
          <w:lang w:eastAsia="zh-CN"/>
        </w:rPr>
        <w:t>，不断强化安全生产源头治理。加强未成年人综合司法保护，持续“零容忍”打击侵害学生权益、危害校园安全犯罪，推动建设未成年人互动体验式法治教育基地。深化落实“检护民生”各项举措，完善保障妇女、残疾人、老年人等特定群体合法权益工作机制，切实办好司法救助、支持起诉、检察听证、行政争议实质性化解等为民实事。加强人权执法司法保障，推动刑事案件审查起诉阶段律师辩护全覆盖，不断完善便利律师参与诉讼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四是久久为功强化法律监督。</w:t>
      </w:r>
      <w:r>
        <w:rPr>
          <w:rFonts w:hint="eastAsia" w:ascii="仿宋_GB2312" w:hAnsi="仿宋_GB2312" w:eastAsia="仿宋_GB2312" w:cs="仿宋_GB2312"/>
          <w:sz w:val="32"/>
          <w:szCs w:val="32"/>
          <w:highlight w:val="none"/>
          <w:lang w:eastAsia="zh-CN"/>
        </w:rPr>
        <w:t>深化“三个结构比”</w:t>
      </w:r>
      <w:r>
        <w:rPr>
          <w:rFonts w:hint="eastAsia" w:ascii="仿宋_GB2312" w:hAnsi="仿宋_GB2312" w:eastAsia="仿宋_GB2312" w:cs="仿宋_GB2312"/>
          <w:sz w:val="32"/>
          <w:szCs w:val="32"/>
          <w:highlight w:val="none"/>
          <w:vertAlign w:val="superscript"/>
          <w:lang w:val="en-US" w:eastAsia="zh-CN"/>
        </w:rPr>
        <w:t>15</w:t>
      </w:r>
      <w:r>
        <w:rPr>
          <w:rFonts w:hint="eastAsia" w:ascii="仿宋_GB2312" w:hAnsi="仿宋_GB2312" w:eastAsia="仿宋_GB2312" w:cs="仿宋_GB2312"/>
          <w:sz w:val="32"/>
          <w:szCs w:val="32"/>
          <w:highlight w:val="none"/>
          <w:lang w:eastAsia="zh-CN"/>
        </w:rPr>
        <w:t>研究应用，以“三个善于”</w:t>
      </w:r>
      <w:r>
        <w:rPr>
          <w:rFonts w:hint="eastAsia" w:ascii="仿宋_GB2312" w:hAnsi="仿宋_GB2312" w:eastAsia="仿宋_GB2312" w:cs="仿宋_GB2312"/>
          <w:sz w:val="32"/>
          <w:szCs w:val="32"/>
          <w:highlight w:val="none"/>
          <w:vertAlign w:val="superscript"/>
          <w:lang w:val="en-US" w:eastAsia="zh-CN"/>
        </w:rPr>
        <w:t>16</w:t>
      </w:r>
      <w:r>
        <w:rPr>
          <w:rFonts w:hint="eastAsia" w:ascii="仿宋_GB2312" w:hAnsi="仿宋_GB2312" w:eastAsia="仿宋_GB2312" w:cs="仿宋_GB2312"/>
          <w:sz w:val="32"/>
          <w:szCs w:val="32"/>
          <w:highlight w:val="none"/>
          <w:lang w:eastAsia="zh-CN"/>
        </w:rPr>
        <w:t>引领做实“高质效办好每一个案件”，推动“四大检察”格局持续优化。健全侦查监督与协作配合机制，持续优化轻罪案件办理流程，促进轻罪嫌疑人知罪悔罪，更好回归社会。围绕人民群众日益增长的民事司法需求，全面履行民事生效裁判监督、民事执行监督、虚假诉讼监督等职能，切实提高监督精准性。持续推动行政处罚和刑事处罚双向衔接，严把“可处罚性”“处罚必要性”原则，扎实有序推进行政违法行为监督。探索公益诉讼案件繁简分流机制与跨区域联动，助力打造人与自然和谐共生的可持续发展先锋。持续探索数字检察赋能法律监督新途径，推动构建案件质量风险管控模型，切实提升监督质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highlight w:val="none"/>
          <w:lang w:eastAsia="zh-CN"/>
        </w:rPr>
        <w:t>五是持之以恒锻造过硬队伍。</w:t>
      </w:r>
      <w:r>
        <w:rPr>
          <w:rFonts w:hint="eastAsia" w:ascii="仿宋_GB2312" w:hAnsi="仿宋_GB2312" w:eastAsia="仿宋_GB2312" w:cs="仿宋_GB2312"/>
          <w:sz w:val="32"/>
          <w:szCs w:val="32"/>
          <w:highlight w:val="none"/>
          <w:lang w:eastAsia="zh-CN"/>
        </w:rPr>
        <w:t>落实新时代党的建设总要求，一体提升队伍政治素质、业务素能和职业道德素养。全面准确落实司法责任制，完善检察权内部监督运行机制，严格落实司法办案监督管理职责，确保检察权公正规范高效廉洁运行。持续加强检察业务数据分析研判，紧密结合宏观数据分析与微观案件评查，统筹推进“管人”与“管案”相衔接，不断提升检察管理科学化、精细化水平。大力推进文化强检、文化润检，持续打磨具有罗湖特色、检察底色的文化品牌。扎实推进人才强检三年规划，有序落实青年检察人员培养“雏鹰计划”，重点培育涉外法治、知识产权、数字检察等领域人才，通过创新选育管用全链条、系统化的培养成长机制，努力打造一支富有青春活力、适应改革需求的高素质队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位代表，时代答卷，常答常新。当前人民检察事业欣逢最好发展时期，也面临更高履职要求。本次大会后，我们将认真落实各位代表的审议意见，坚定信心、勇毅前行，奋力书写罗湖检察事业发展新篇章，努力为高质量打造“三力三区”、加快建设社会主义现代化可持续发展先锋城区做出新的更大贡献！</w:t>
      </w:r>
    </w:p>
    <w:p>
      <w:pP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br w:type="page"/>
      </w:r>
    </w:p>
    <w:p>
      <w:pPr>
        <w:keepNext w:val="0"/>
        <w:keepLines w:val="0"/>
        <w:pageBreakBefore w:val="0"/>
        <w:kinsoku/>
        <w:wordWrap/>
        <w:overflowPunct/>
        <w:topLinePunct w:val="0"/>
        <w:autoSpaceDE/>
        <w:autoSpaceDN/>
        <w:bidi w:val="0"/>
        <w:adjustRightInd/>
        <w:spacing w:line="560" w:lineRule="exact"/>
        <w:textAlignment w:val="auto"/>
        <w:rPr>
          <w:rFonts w:hint="default"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附件</w:t>
      </w:r>
      <w:r>
        <w:rPr>
          <w:rFonts w:hint="eastAsia" w:ascii="黑体" w:hAnsi="黑体" w:eastAsia="黑体" w:cs="黑体"/>
          <w:b w:val="0"/>
          <w:bCs/>
          <w:sz w:val="32"/>
          <w:szCs w:val="32"/>
          <w:highlight w:val="none"/>
          <w:lang w:val="en-US" w:eastAsia="zh-CN"/>
        </w:rPr>
        <w:t>1</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有关数据图表</w:t>
      </w:r>
    </w:p>
    <w:p>
      <w:pPr>
        <w:rPr>
          <w:rFonts w:hint="eastAsia" w:ascii="仿宋_GB2312" w:hAnsi="宋体" w:eastAsia="仿宋_GB2312"/>
          <w:b/>
          <w:sz w:val="32"/>
          <w:szCs w:val="32"/>
          <w:highlight w:val="none"/>
        </w:rPr>
      </w:pPr>
    </w:p>
    <w:p>
      <w:pPr>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eastAsia="zh-CN"/>
        </w:rPr>
        <w:t>图表</w:t>
      </w:r>
      <w:r>
        <w:rPr>
          <w:rFonts w:hint="eastAsia" w:ascii="仿宋_GB2312" w:hAnsi="宋体" w:eastAsia="仿宋_GB2312"/>
          <w:b/>
          <w:sz w:val="32"/>
          <w:szCs w:val="32"/>
          <w:highlight w:val="none"/>
          <w:lang w:val="en-US" w:eastAsia="zh-CN"/>
        </w:rPr>
        <w:t>1：</w:t>
      </w:r>
      <w:r>
        <w:rPr>
          <w:rFonts w:hint="eastAsia" w:ascii="仿宋_GB2312" w:hAnsi="宋体" w:eastAsia="仿宋_GB2312"/>
          <w:b/>
          <w:sz w:val="32"/>
          <w:szCs w:val="32"/>
          <w:highlight w:val="none"/>
        </w:rPr>
        <w:t>近三年审查批捕案件对比图</w:t>
      </w:r>
    </w:p>
    <w:p>
      <w:pPr>
        <w:jc w:val="center"/>
        <w:rPr>
          <w:rFonts w:hint="eastAsia" w:ascii="仿宋_GB2312" w:hAnsi="宋体" w:eastAsia="仿宋_GB2312"/>
          <w:b/>
          <w:sz w:val="32"/>
          <w:szCs w:val="32"/>
          <w:highlight w:val="none"/>
          <w:lang w:eastAsia="zh-CN"/>
        </w:rPr>
      </w:pPr>
      <w:r>
        <w:rPr>
          <w:rFonts w:hint="eastAsia" w:ascii="仿宋_GB2312" w:hAnsi="宋体" w:eastAsia="仿宋_GB2312"/>
          <w:b/>
          <w:sz w:val="32"/>
          <w:szCs w:val="32"/>
          <w:highlight w:val="none"/>
          <w:lang w:eastAsia="zh-CN"/>
        </w:rPr>
        <w:object>
          <v:shape id="_x0000_i1025" o:spt="75" alt="olechartimg_1672885535612020_1121244160" type="#_x0000_t75" style="height:217.5pt;width:384pt;" o:ole="t" filled="f" o:preferrelative="t" stroked="f" coordsize="21600,21600">
            <v:path/>
            <v:fill on="f" focussize="0,0"/>
            <v:stroke on="f"/>
            <v:imagedata r:id="rId7" o:title="olechartimg_1736215531142490_558329216"/>
            <o:lock v:ext="edit" aspectratio="t"/>
            <w10:wrap type="none"/>
            <w10:anchorlock/>
          </v:shape>
          <o:OLEObject Type="Embed" ProgID="Excel.Chart.8" ShapeID="_x0000_i1025" DrawAspect="Content" ObjectID="_1468075725" r:id="rId6">
            <o:LockedField>false</o:LockedField>
          </o:OLEObject>
        </w:object>
      </w:r>
    </w:p>
    <w:p>
      <w:pPr>
        <w:jc w:val="both"/>
        <w:rPr>
          <w:rFonts w:ascii="仿宋_GB2312" w:hAnsi="宋体" w:eastAsia="仿宋_GB2312"/>
          <w:b/>
          <w:sz w:val="32"/>
          <w:szCs w:val="32"/>
          <w:highlight w:val="none"/>
        </w:rPr>
      </w:pPr>
    </w:p>
    <w:p>
      <w:pPr>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eastAsia="zh-CN"/>
        </w:rPr>
        <w:t>图表</w:t>
      </w:r>
      <w:r>
        <w:rPr>
          <w:rFonts w:hint="eastAsia" w:ascii="仿宋_GB2312" w:hAnsi="宋体" w:eastAsia="仿宋_GB2312"/>
          <w:b/>
          <w:sz w:val="32"/>
          <w:szCs w:val="32"/>
          <w:highlight w:val="none"/>
          <w:lang w:val="en-US" w:eastAsia="zh-CN"/>
        </w:rPr>
        <w:t>2：</w:t>
      </w:r>
      <w:r>
        <w:rPr>
          <w:rFonts w:hint="eastAsia" w:ascii="仿宋_GB2312" w:hAnsi="宋体" w:eastAsia="仿宋_GB2312"/>
          <w:b/>
          <w:sz w:val="32"/>
          <w:szCs w:val="32"/>
          <w:highlight w:val="none"/>
        </w:rPr>
        <w:t>近三年审查起诉案件对比图</w:t>
      </w:r>
    </w:p>
    <w:p>
      <w:pPr>
        <w:jc w:val="center"/>
        <w:rPr>
          <w:rFonts w:hint="eastAsia" w:ascii="仿宋_GB2312" w:hAnsi="宋体" w:eastAsia="仿宋_GB2312"/>
          <w:b/>
          <w:sz w:val="32"/>
          <w:szCs w:val="32"/>
          <w:highlight w:val="none"/>
          <w:lang w:eastAsia="zh-CN"/>
        </w:rPr>
      </w:pPr>
      <w:r>
        <w:rPr>
          <w:rFonts w:hint="eastAsia" w:ascii="仿宋_GB2312" w:hAnsi="宋体" w:eastAsia="仿宋_GB2312"/>
          <w:b/>
          <w:sz w:val="32"/>
          <w:szCs w:val="32"/>
          <w:highlight w:val="none"/>
          <w:lang w:eastAsia="zh-CN"/>
        </w:rPr>
        <w:object>
          <v:shape id="_x0000_i1026" o:spt="75" alt="olechartimg_1672885976083860_1121249280" type="#_x0000_t75" style="height:219.75pt;width:382.5pt;" o:ole="t" filled="f" o:preferrelative="t" stroked="f" coordsize="21600,21600">
            <v:path/>
            <v:fill on="f" focussize="0,0"/>
            <v:stroke on="f"/>
            <v:imagedata r:id="rId9" o:title="olechartimg_1736215677539982_558329216"/>
            <o:lock v:ext="edit" aspectratio="t"/>
            <w10:wrap type="none"/>
            <w10:anchorlock/>
          </v:shape>
          <o:OLEObject Type="Embed" ProgID="Excel.Chart.8" ShapeID="_x0000_i1026" DrawAspect="Content" ObjectID="_1468075726" r:id="rId8">
            <o:LockedField>false</o:LockedField>
          </o:OLEObject>
        </w:object>
      </w:r>
    </w:p>
    <w:p>
      <w:pPr>
        <w:jc w:val="both"/>
        <w:rPr>
          <w:rFonts w:ascii="仿宋_GB2312" w:hAnsi="宋体" w:eastAsia="仿宋_GB2312"/>
          <w:b/>
          <w:sz w:val="32"/>
          <w:szCs w:val="32"/>
          <w:highlight w:val="none"/>
        </w:rPr>
      </w:pPr>
    </w:p>
    <w:p>
      <w:pPr>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eastAsia="zh-CN"/>
        </w:rPr>
        <w:t>图表</w:t>
      </w:r>
      <w:r>
        <w:rPr>
          <w:rFonts w:hint="eastAsia" w:ascii="仿宋_GB2312" w:hAnsi="宋体" w:eastAsia="仿宋_GB2312"/>
          <w:b/>
          <w:sz w:val="32"/>
          <w:szCs w:val="32"/>
          <w:highlight w:val="none"/>
          <w:lang w:val="en-US" w:eastAsia="zh-CN"/>
        </w:rPr>
        <w:t>3：2024年</w:t>
      </w:r>
      <w:r>
        <w:rPr>
          <w:rFonts w:hint="eastAsia" w:ascii="仿宋_GB2312" w:hAnsi="宋体" w:eastAsia="仿宋_GB2312" w:cs="宋体"/>
          <w:b/>
          <w:sz w:val="32"/>
          <w:szCs w:val="32"/>
          <w:highlight w:val="none"/>
        </w:rPr>
        <w:t>批准逮捕</w:t>
      </w:r>
      <w:r>
        <w:rPr>
          <w:rFonts w:hint="eastAsia" w:ascii="仿宋_GB2312" w:hAnsi="宋体" w:eastAsia="仿宋_GB2312" w:cs="宋体"/>
          <w:b/>
          <w:sz w:val="32"/>
          <w:szCs w:val="32"/>
          <w:highlight w:val="none"/>
          <w:lang w:eastAsia="zh-CN"/>
        </w:rPr>
        <w:t>前五类</w:t>
      </w:r>
      <w:r>
        <w:rPr>
          <w:rFonts w:hint="eastAsia" w:ascii="仿宋_GB2312" w:hAnsi="宋体" w:eastAsia="仿宋_GB2312" w:cs="宋体"/>
          <w:b/>
          <w:sz w:val="32"/>
          <w:szCs w:val="32"/>
          <w:highlight w:val="none"/>
        </w:rPr>
        <w:t>犯罪案件分类统计图</w:t>
      </w:r>
    </w:p>
    <w:p>
      <w:pPr>
        <w:ind w:left="0" w:leftChars="0" w:firstLine="0" w:firstLineChars="0"/>
        <w:jc w:val="center"/>
        <w:rPr>
          <w:rFonts w:hint="eastAsia" w:ascii="仿宋_GB2312" w:hAnsi="宋体" w:eastAsia="仿宋_GB2312" w:cs="宋体"/>
          <w:b/>
          <w:sz w:val="32"/>
          <w:szCs w:val="32"/>
          <w:highlight w:val="none"/>
          <w:lang w:eastAsia="zh-CN"/>
        </w:rPr>
      </w:pPr>
      <w:r>
        <w:rPr>
          <w:rFonts w:hint="eastAsia" w:ascii="仿宋_GB2312" w:hAnsi="宋体" w:eastAsia="仿宋_GB2312" w:cs="宋体"/>
          <w:b/>
          <w:sz w:val="32"/>
          <w:szCs w:val="32"/>
          <w:highlight w:val="none"/>
          <w:lang w:eastAsia="zh-CN"/>
        </w:rPr>
        <w:object>
          <v:shape id="_x0000_i1027" o:spt="75" alt="olechartimg_1672887573220919_1121244160" type="#_x0000_t75" style="height:220.5pt;width:383.25pt;" o:ole="t" filled="f" o:preferrelative="t" stroked="f" coordsize="21600,21600">
            <v:path/>
            <v:fill on="f" focussize="0,0"/>
            <v:stroke on="f"/>
            <v:imagedata r:id="rId11" o:title="olechartimg_1672887573220919_1121244160"/>
            <o:lock v:ext="edit" aspectratio="t"/>
            <w10:wrap type="none"/>
            <w10:anchorlock/>
          </v:shape>
          <o:OLEObject Type="Embed" ProgID="Excel.Chart.8" ShapeID="_x0000_i1027" DrawAspect="Content" ObjectID="_1468075727" r:id="rId10">
            <o:LockedField>false</o:LockedField>
          </o:OLEObject>
        </w:object>
      </w:r>
    </w:p>
    <w:p>
      <w:pPr>
        <w:ind w:left="1" w:leftChars="-85" w:hanging="179" w:hangingChars="56"/>
        <w:jc w:val="both"/>
        <w:rPr>
          <w:rFonts w:hint="eastAsia" w:ascii="仿宋_GB2312" w:hAnsi="宋体" w:eastAsia="仿宋_GB2312" w:cs="宋体"/>
          <w:b/>
          <w:sz w:val="32"/>
          <w:szCs w:val="32"/>
          <w:highlight w:val="none"/>
        </w:rPr>
      </w:pPr>
    </w:p>
    <w:p>
      <w:pPr>
        <w:pStyle w:val="5"/>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pacing w:line="560" w:lineRule="exact"/>
        <w:ind w:left="1" w:leftChars="-85" w:hanging="179" w:hangingChars="56"/>
        <w:jc w:val="center"/>
        <w:textAlignment w:val="auto"/>
        <w:rPr>
          <w:rFonts w:ascii="楷体_GB2312" w:hAnsi="宋体" w:eastAsia="楷体_GB2312"/>
          <w:b/>
          <w:sz w:val="32"/>
          <w:szCs w:val="32"/>
          <w:highlight w:val="none"/>
        </w:rPr>
      </w:pPr>
      <w:r>
        <w:rPr>
          <w:rFonts w:hint="eastAsia" w:ascii="仿宋_GB2312" w:hAnsi="宋体" w:eastAsia="仿宋_GB2312"/>
          <w:b/>
          <w:sz w:val="32"/>
          <w:szCs w:val="32"/>
          <w:highlight w:val="none"/>
          <w:lang w:eastAsia="zh-CN"/>
        </w:rPr>
        <w:t>图表</w:t>
      </w:r>
      <w:r>
        <w:rPr>
          <w:rFonts w:hint="eastAsia" w:ascii="仿宋_GB2312" w:hAnsi="宋体" w:eastAsia="仿宋_GB2312"/>
          <w:b/>
          <w:sz w:val="32"/>
          <w:szCs w:val="32"/>
          <w:highlight w:val="none"/>
          <w:lang w:val="en-US" w:eastAsia="zh-CN"/>
        </w:rPr>
        <w:t>4：2024年</w:t>
      </w:r>
      <w:r>
        <w:rPr>
          <w:rFonts w:hint="eastAsia" w:ascii="仿宋_GB2312" w:hAnsi="宋体" w:eastAsia="仿宋_GB2312" w:cs="宋体"/>
          <w:b/>
          <w:sz w:val="32"/>
          <w:szCs w:val="32"/>
          <w:highlight w:val="none"/>
          <w:lang w:eastAsia="zh-CN"/>
        </w:rPr>
        <w:t>提起公诉前五类</w:t>
      </w:r>
      <w:r>
        <w:rPr>
          <w:rFonts w:hint="eastAsia" w:ascii="仿宋_GB2312" w:hAnsi="宋体" w:eastAsia="仿宋_GB2312" w:cs="宋体"/>
          <w:b/>
          <w:sz w:val="32"/>
          <w:szCs w:val="32"/>
          <w:highlight w:val="none"/>
        </w:rPr>
        <w:t>犯罪案件分类统计图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ighlight w:val="none"/>
          <w:lang w:eastAsia="zh-CN"/>
        </w:rPr>
      </w:pPr>
      <w:r>
        <w:rPr>
          <w:rFonts w:hint="eastAsia"/>
          <w:highlight w:val="none"/>
          <w:lang w:eastAsia="zh-CN"/>
        </w:rPr>
        <w:object>
          <v:shape id="_x0000_i1028" o:spt="75" alt="olechartimg_1672887848918045_1121244160" type="#_x0000_t75" style="height:221.25pt;width:385.4pt;" o:ole="t" filled="f" o:preferrelative="t" stroked="f" coordsize="21600,21600">
            <v:path/>
            <v:fill on="f" focussize="0,0"/>
            <v:stroke on="f"/>
            <v:imagedata r:id="rId13" o:title="olechartimg_1672887848918045_1121244160"/>
            <o:lock v:ext="edit" aspectratio="t"/>
            <w10:wrap type="none"/>
            <w10:anchorlock/>
          </v:shape>
          <o:OLEObject Type="Embed" ProgID="Excel.Chart.8" ShapeID="_x0000_i1028" DrawAspect="Content" ObjectID="_1468075728" r:id="rId12">
            <o:LockedField>false</o:LockedField>
          </o:OLEObject>
        </w:objec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highlight w:val="none"/>
          <w:lang w:eastAsia="zh-CN"/>
        </w:rPr>
        <w:br w:type="page"/>
      </w:r>
    </w:p>
    <w:p>
      <w:pPr>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eastAsia="zh-CN"/>
        </w:rPr>
        <w:t>图表</w:t>
      </w: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近三年</w:t>
      </w:r>
      <w:r>
        <w:rPr>
          <w:rFonts w:hint="eastAsia" w:ascii="仿宋_GB2312" w:hAnsi="宋体" w:eastAsia="仿宋_GB2312"/>
          <w:b/>
          <w:sz w:val="32"/>
          <w:szCs w:val="32"/>
          <w:highlight w:val="none"/>
          <w:lang w:eastAsia="zh-CN"/>
        </w:rPr>
        <w:t>“四大检察”案件数</w:t>
      </w:r>
      <w:r>
        <w:rPr>
          <w:rFonts w:hint="eastAsia" w:ascii="仿宋_GB2312" w:hAnsi="宋体" w:eastAsia="仿宋_GB2312"/>
          <w:b/>
          <w:sz w:val="32"/>
          <w:szCs w:val="32"/>
          <w:highlight w:val="none"/>
        </w:rPr>
        <w:t>对比图</w:t>
      </w:r>
    </w:p>
    <w:p>
      <w:pPr>
        <w:jc w:val="center"/>
        <w:rPr>
          <w:rFonts w:hint="eastAsia" w:ascii="仿宋_GB2312" w:hAnsi="宋体" w:eastAsia="仿宋_GB2312"/>
          <w:b/>
          <w:sz w:val="32"/>
          <w:szCs w:val="32"/>
          <w:highlight w:val="none"/>
          <w:lang w:eastAsia="zh-CN"/>
        </w:rPr>
      </w:pPr>
      <w:r>
        <w:rPr>
          <w:rFonts w:hint="eastAsia" w:ascii="仿宋_GB2312" w:hAnsi="宋体" w:eastAsia="仿宋_GB2312"/>
          <w:b/>
          <w:sz w:val="32"/>
          <w:szCs w:val="32"/>
          <w:highlight w:val="none"/>
          <w:lang w:eastAsia="zh-CN"/>
        </w:rPr>
        <w:object>
          <v:shape id="_x0000_i1029" o:spt="75" alt="olechartimg_1672885535612020_1121244160" type="#_x0000_t75" style="height:217.5pt;width:384pt;" o:ole="t" filled="f" o:preferrelative="t" stroked="f" coordsize="21600,21600">
            <v:path/>
            <v:fill on="f" focussize="0,0"/>
            <v:stroke on="f"/>
            <v:imagedata r:id="rId15" o:title="olechartimg_1736215326229512_558329216"/>
            <o:lock v:ext="edit" aspectratio="t"/>
            <w10:wrap type="none"/>
            <w10:anchorlock/>
          </v:shape>
          <o:OLEObject Type="Embed" ProgID="Excel.Chart.8" ShapeID="_x0000_i1029" DrawAspect="Content" ObjectID="_1468075729" r:id="rId14">
            <o:LockedField>false</o:LockedField>
          </o:OLEObject>
        </w:objec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黑体" w:eastAsia="方正小标宋简体" w:cs="方正小标宋简体"/>
          <w:color w:val="auto"/>
          <w:sz w:val="44"/>
          <w:szCs w:val="44"/>
          <w:highlight w:val="none"/>
        </w:rPr>
      </w:pPr>
      <w:r>
        <w:rPr>
          <w:rFonts w:hint="eastAsia" w:ascii="方正小标宋简体" w:hAnsi="黑体" w:eastAsia="方正小标宋简体" w:cs="方正小标宋简体"/>
          <w:color w:val="auto"/>
          <w:sz w:val="44"/>
          <w:szCs w:val="44"/>
          <w:highlight w:val="none"/>
        </w:rPr>
        <w:t>相关案件和术语说明</w:t>
      </w:r>
    </w:p>
    <w:p>
      <w:pPr>
        <w:pStyle w:val="5"/>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1.12.26系列寻衅滋事案——</w:t>
      </w:r>
      <w:r>
        <w:rPr>
          <w:rFonts w:hint="eastAsia" w:ascii="仿宋_GB2312" w:hAnsi="仿宋_GB2312" w:eastAsia="仿宋_GB2312" w:cs="仿宋_GB2312"/>
          <w:color w:val="auto"/>
          <w:sz w:val="32"/>
          <w:szCs w:val="32"/>
          <w:highlight w:val="none"/>
          <w:lang w:val="en-US" w:eastAsia="zh-CN"/>
        </w:rPr>
        <w:t>被告人杨某等人以催收佣金利益为驱动，设立两家公司并雇佣500余名业务员，为网贷公司催收逾期欠款。两家公司架构完备，层级分明，长期通过电信网络有组织地采取滋扰、恐吓、辱骂甚至假冒司法机关名义等软暴力手段进行催收，严重影响他人正常工作、生活，破坏社会秩序，被害人涉及全国大部分省份，侦查机关已取证的被害人达400余人。本案当中，以杨某为首的恶势力团伙通过催收方式收取网贷公司支付的服务费达人民币2.3亿余元。</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2.“7+4+4”醉驾办案模式——</w:t>
      </w:r>
      <w:r>
        <w:rPr>
          <w:rFonts w:hint="eastAsia" w:ascii="仿宋_GB2312" w:hAnsi="仿宋_GB2312" w:eastAsia="仿宋_GB2312" w:cs="仿宋_GB2312"/>
          <w:color w:val="auto"/>
          <w:kern w:val="0"/>
          <w:sz w:val="32"/>
          <w:szCs w:val="32"/>
          <w:highlight w:val="none"/>
          <w:lang w:val="en-US" w:eastAsia="zh-CN" w:bidi="ar-SA"/>
        </w:rPr>
        <w:t>对符合条件的醉酒危险驾驶案件，由市交警局立案后7日内移送起诉，罗湖区检察院在受理之日起4日内办结，罗湖区法院在受理之日起4日内开庭审理并当庭宣判，不定期实行醉驾案件的集中提审、集中认罪认罚、集中提起公诉、集中开庭审理、集中当庭宣判、集中法治宣教。</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3.“拾乐园”社会帮扶项目——</w:t>
      </w:r>
      <w:r>
        <w:rPr>
          <w:rFonts w:hint="eastAsia" w:ascii="仿宋_GB2312" w:hAnsi="仿宋_GB2312" w:eastAsia="仿宋_GB2312" w:cs="仿宋_GB2312"/>
          <w:color w:val="auto"/>
          <w:kern w:val="0"/>
          <w:sz w:val="32"/>
          <w:szCs w:val="32"/>
          <w:highlight w:val="none"/>
          <w:lang w:val="en-US" w:eastAsia="zh-CN" w:bidi="ar-SA"/>
        </w:rPr>
        <w:t>与深圳市某公益基金组织开展合作，针对轻罪案件中16-24周岁之间面临经济困难的犯罪嫌疑人，因人因案施策，定制帮扶计划，通过提供基本生活保障和初级劳务技能培训，帮助嫌疑人顺利回归社会，从源头上降低再次违法犯罪风险。帮扶期间，罗湖区检察院工作人员联合专业志愿者，通过现场查访、谈话谈心等方式，不定期对涉罪人员的工作、生活动态进行全方位的考察监督。</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4.“艾美”系列案——</w:t>
      </w:r>
      <w:r>
        <w:rPr>
          <w:rFonts w:hint="eastAsia" w:ascii="仿宋_GB2312" w:hAnsi="仿宋_GB2312" w:eastAsia="仿宋_GB2312" w:cs="仿宋_GB2312"/>
          <w:color w:val="auto"/>
          <w:kern w:val="0"/>
          <w:sz w:val="32"/>
          <w:szCs w:val="32"/>
          <w:highlight w:val="none"/>
          <w:lang w:val="en-US" w:eastAsia="zh-CN" w:bidi="ar-SA"/>
        </w:rPr>
        <w:t>广东艾美美业化妆品集团有限公司及其关联公司，采取“预存货款”“渠道补贴”“现金奖励”“员工福利”“出售股权”等多种不同方式非法吸收公众存款，共计人民币近110亿元。本案涉及人员较多，且来自全国各地，投资群体维权意愿强烈，具有较大信访风险。罗湖区检察院积极参加“艾美”系列案处置专班的联席会议，与相关部门针对案件处置与风险化解等问题进行充分沟通，并督促公安机关加大追赃挽损力度，全力做好风险防控。</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5.杨某某挪用资金案——</w:t>
      </w:r>
      <w:r>
        <w:rPr>
          <w:rFonts w:hint="eastAsia" w:ascii="仿宋_GB2312" w:hAnsi="仿宋_GB2312" w:eastAsia="仿宋_GB2312" w:cs="仿宋_GB2312"/>
          <w:color w:val="auto"/>
          <w:kern w:val="0"/>
          <w:sz w:val="32"/>
          <w:szCs w:val="32"/>
          <w:highlight w:val="none"/>
          <w:lang w:val="en-US" w:eastAsia="zh-CN" w:bidi="ar-SA"/>
        </w:rPr>
        <w:t>该案为罗湖区检察院高质效办理涉企案件的代表。被告人杨某某利用其职务便利，个人决定将单位钱款挪给其他单位使用，谋取个人利益，构成挪用资金罪。办案过程中，罗湖区检察院全链条跟进追赃挽损，用心用情守护好民营企业“钱袋子”，承办检察官积极为被告人和被害单位搭建沟通桥梁，促成双方在审前达成和解并签署退赔方案，被告人杨某某在法院判决前全部退赔涉案钱款2.2亿余元。此外，针对涉案单位管理制度缺失、监管措施缺位、管理层权责不清等问题提出改进措施，制发社会治理类检察建议，助力企业堵漏建制。</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6.“检察护企”专项行动——</w:t>
      </w:r>
      <w:r>
        <w:rPr>
          <w:rFonts w:hint="eastAsia" w:ascii="仿宋_GB2312" w:hAnsi="仿宋_GB2312" w:eastAsia="仿宋_GB2312" w:cs="仿宋_GB2312"/>
          <w:color w:val="auto"/>
          <w:kern w:val="0"/>
          <w:sz w:val="32"/>
          <w:szCs w:val="32"/>
          <w:highlight w:val="none"/>
          <w:lang w:val="en-US" w:eastAsia="zh-CN" w:bidi="ar-SA"/>
        </w:rPr>
        <w:t>2024年2月，最高检在全国检察机关部署开展“检察护企”专项行动，印发《“检察护企”专项行动工作方案》，明确14项重点工作举措，旨在通过充分履行各项检察职能，助力营造市场化、法治化、国际化一流营商环境，依法平等保护民营企业产权和企业家合法权益，促进民营经济发展壮大，推动经济社会高质量发展。</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7.“检护民生”专项行动——</w:t>
      </w:r>
      <w:r>
        <w:rPr>
          <w:rFonts w:hint="eastAsia" w:ascii="仿宋_GB2312" w:hAnsi="仿宋_GB2312" w:eastAsia="仿宋_GB2312" w:cs="仿宋_GB2312"/>
          <w:color w:val="auto"/>
          <w:kern w:val="0"/>
          <w:sz w:val="32"/>
          <w:szCs w:val="32"/>
          <w:highlight w:val="none"/>
          <w:lang w:val="en-US" w:eastAsia="zh-CN" w:bidi="ar-SA"/>
        </w:rPr>
        <w:t>2024年2月，最高检在全国检察机关部署开展“检护民生”专项行动，印发《“检护民生”专项行动实施方案》，明确11项行动重点，围绕就业、食药、社保等民生热点以及劳动者、消费者、妇女等重点人群，聚焦一个地区、一类人群、一个行业等突出问题，重点加强民生司法保障，运用法治“力度”切实提升民生“温度”。</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8.“1+6+N”基层社会治理体系——</w:t>
      </w:r>
      <w:r>
        <w:rPr>
          <w:rFonts w:hint="eastAsia" w:ascii="仿宋_GB2312" w:hAnsi="仿宋_GB2312" w:eastAsia="仿宋_GB2312" w:cs="仿宋_GB2312"/>
          <w:color w:val="auto"/>
          <w:kern w:val="0"/>
          <w:sz w:val="32"/>
          <w:szCs w:val="32"/>
          <w:highlight w:val="none"/>
          <w:lang w:val="en-US" w:eastAsia="zh-CN" w:bidi="ar-SA"/>
        </w:rPr>
        <w:t>“1”是指规范基层综治中心建设，实现“一个中心管平安，一个平台抓治理”；“6”是指发挥法院、检察院、公安、司法行政等基层政法单位和综合网络、网格员力量，以及“粤平安”社会治理云平台等信息化支撑平台作用，形成矛盾纠纷化解合力；“N”是指广泛发动社会其他综治力量，多方共同参与矛盾纠纷排查化解。</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9.六大保护——</w:t>
      </w:r>
      <w:r>
        <w:rPr>
          <w:rFonts w:hint="eastAsia" w:ascii="仿宋_GB2312" w:hAnsi="仿宋_GB2312" w:eastAsia="仿宋_GB2312" w:cs="仿宋_GB2312"/>
          <w:color w:val="auto"/>
          <w:kern w:val="0"/>
          <w:sz w:val="32"/>
          <w:szCs w:val="32"/>
          <w:highlight w:val="none"/>
          <w:lang w:val="en-US" w:eastAsia="zh-CN" w:bidi="ar-SA"/>
        </w:rPr>
        <w:t>通过“家庭、学校、社会、网络、政府、司法”协同履职，共同为未成年人提供全方位、立体化的综合保护。</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10.司法行政强制隔离戒毒检察监督——</w:t>
      </w:r>
      <w:r>
        <w:rPr>
          <w:rFonts w:hint="eastAsia" w:ascii="仿宋_GB2312" w:hAnsi="仿宋_GB2312" w:eastAsia="仿宋_GB2312" w:cs="仿宋_GB2312"/>
          <w:color w:val="auto"/>
          <w:kern w:val="0"/>
          <w:sz w:val="32"/>
          <w:szCs w:val="32"/>
          <w:highlight w:val="none"/>
          <w:lang w:val="en-US" w:eastAsia="zh-CN" w:bidi="ar-SA"/>
        </w:rPr>
        <w:t>2022年，最高检、司法部联合印发《关于开展司法行政强制隔离戒毒检察监督试点工作的意见》。结合文件精神，2023年1月，省检察院、省司法厅印发《关于开展司法行政强制隔离戒毒检察监督试点工作的实施办法（试行）》，在全省确定10家戒毒所及所在县（区）检察机关为试点单位，围绕强制隔离戒毒人员接收、解除、变更戒毒措施、所外就医等执法事项的合法性和规范性实施监督。深圳市第一强制隔离戒毒所以及罗湖区检察院作为全市唯一代表，参与了首批试点工作。</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11.公益诉讼观察员——</w:t>
      </w:r>
      <w:r>
        <w:rPr>
          <w:rFonts w:hint="eastAsia" w:ascii="仿宋_GB2312" w:hAnsi="仿宋_GB2312" w:eastAsia="仿宋_GB2312" w:cs="仿宋_GB2312"/>
          <w:color w:val="auto"/>
          <w:kern w:val="0"/>
          <w:sz w:val="32"/>
          <w:szCs w:val="32"/>
          <w:highlight w:val="none"/>
          <w:lang w:val="en-US" w:eastAsia="zh-CN" w:bidi="ar-SA"/>
        </w:rPr>
        <w:t>为推进公益诉讼工作，罗湖区检察院于2019年4月探索性地推出公益诉讼观察员制度。经区人大、政协和政府各部门推荐，从热心公益、具有相关专业背景的人员中选聘观察员，作为检察机关“外脑”，为检察院公益诉讼工作出谋划策。截至目前，罗湖区检察院共选聘公益诉讼观察员两届50人。</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12.“1+2+3+4”工作体系——</w:t>
      </w:r>
      <w:r>
        <w:rPr>
          <w:rFonts w:hint="eastAsia" w:ascii="仿宋_GB2312" w:hAnsi="仿宋_GB2312" w:eastAsia="仿宋_GB2312" w:cs="仿宋_GB2312"/>
          <w:color w:val="auto"/>
          <w:sz w:val="32"/>
          <w:szCs w:val="32"/>
          <w:highlight w:val="none"/>
          <w:lang w:val="en-US" w:eastAsia="zh-CN"/>
        </w:rPr>
        <w:t>2023年11月，</w:t>
      </w:r>
      <w:r>
        <w:rPr>
          <w:rFonts w:hint="eastAsia" w:ascii="仿宋_GB2312" w:hAnsi="仿宋_GB2312" w:eastAsia="仿宋_GB2312" w:cs="仿宋_GB2312"/>
          <w:b w:val="0"/>
          <w:bCs w:val="0"/>
          <w:color w:val="auto"/>
          <w:sz w:val="32"/>
          <w:szCs w:val="32"/>
          <w:highlight w:val="none"/>
          <w:lang w:val="en-US" w:eastAsia="zh-CN"/>
        </w:rPr>
        <w:t>罗湖区检察院</w:t>
      </w:r>
      <w:r>
        <w:rPr>
          <w:rFonts w:hint="eastAsia" w:ascii="仿宋_GB2312" w:hAnsi="仿宋_GB2312" w:eastAsia="仿宋_GB2312" w:cs="仿宋_GB2312"/>
          <w:color w:val="auto"/>
          <w:kern w:val="0"/>
          <w:sz w:val="32"/>
          <w:szCs w:val="32"/>
          <w:highlight w:val="none"/>
          <w:lang w:val="en-US" w:eastAsia="zh-CN" w:bidi="ar-SA"/>
        </w:rPr>
        <w:t>研究制定《推动侦查监督与协作配合办公室实质化、规范化运行的工作方案（试行）》，以一个工作方案为蓝图，设立“简案优办”“多元矛盾纠纷化解”两个中心，融合“直诉案件办理”“重大疑难复杂案件提前介入”“行刑衔接”三个机制，嵌入“轻罪办理”“提前介入”“常态化法律监督”“梧桐论法”四个模块，打造具有罗湖检察特色的侦协办工作体系。</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13.“枢·心·管+”——</w:t>
      </w:r>
      <w:r>
        <w:rPr>
          <w:rFonts w:hint="eastAsia" w:ascii="仿宋_GB2312" w:hAnsi="仿宋_GB2312" w:eastAsia="仿宋_GB2312" w:cs="仿宋_GB2312"/>
          <w:color w:val="auto"/>
          <w:sz w:val="32"/>
          <w:szCs w:val="32"/>
          <w:highlight w:val="none"/>
          <w:lang w:val="en-US" w:eastAsia="zh-CN"/>
        </w:rPr>
        <w:t>罗湖区检察院打造的检察业务品牌，</w:t>
      </w:r>
      <w:r>
        <w:rPr>
          <w:rFonts w:hint="eastAsia" w:ascii="仿宋_GB2312" w:hAnsi="仿宋_GB2312" w:eastAsia="仿宋_GB2312" w:cs="仿宋_GB2312"/>
          <w:color w:val="auto"/>
          <w:kern w:val="0"/>
          <w:sz w:val="32"/>
          <w:szCs w:val="32"/>
          <w:highlight w:val="none"/>
          <w:lang w:val="en-US" w:eastAsia="zh-CN" w:bidi="ar-SA"/>
        </w:rPr>
        <w:t>立足案件管理“中枢”职能定位，聚焦监督管理和服务保障两大主责，“用心”服务领导决策、服务司法办案、服务诉讼参与人和服务人民群众，综合运用实体评查、程序监督、数据监管等“管理”手段，“+”上全院各业务部门通力合作、互相配合，达到提升检察业务质量的总体目标。该工作经验得到省检察院推广。</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14.八号检察建议</w:t>
      </w:r>
      <w:r>
        <w:rPr>
          <w:rFonts w:hint="eastAsia" w:ascii="黑体" w:hAnsi="黑体" w:eastAsia="黑体"/>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针对安全生产监管工作中存在的突出问题，2022年2月，最高检向应急管理部发出“八号检察建议”，助推源头治理，强化安全生产管理，切实维护生产安全和人民群众生命财产安全。</w:t>
      </w:r>
    </w:p>
    <w:p>
      <w:pPr>
        <w:pStyle w:val="7"/>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黑体" w:hAnsi="黑体" w:eastAsia="黑体"/>
          <w:color w:val="auto"/>
          <w:sz w:val="32"/>
          <w:szCs w:val="32"/>
          <w:highlight w:val="none"/>
          <w:lang w:val="en-US" w:eastAsia="zh-CN"/>
        </w:rPr>
        <w:t>15.三个结构比——</w:t>
      </w:r>
      <w:r>
        <w:rPr>
          <w:rFonts w:hint="eastAsia" w:ascii="仿宋_GB2312" w:hAnsi="仿宋_GB2312" w:eastAsia="仿宋_GB2312" w:cs="仿宋_GB2312"/>
          <w:color w:val="auto"/>
          <w:kern w:val="0"/>
          <w:sz w:val="32"/>
          <w:szCs w:val="32"/>
          <w:highlight w:val="none"/>
          <w:lang w:val="en-US" w:eastAsia="zh-CN" w:bidi="ar-SA"/>
        </w:rPr>
        <w:t>2024年7月，最高检应勇检察长在大检察官研讨班讲话中明确提出“三个结构比”，即刑事、民事、行政、公益诉讼“四大检察”的履职结构比，依程序办案与依职权监督的案件结构比，依程序移送、依申请受案与主动发现的案源结构比，为检察工作整体“高质效”的衡量提供了研判参照。</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olor w:val="auto"/>
          <w:sz w:val="32"/>
          <w:szCs w:val="32"/>
          <w:highlight w:val="none"/>
          <w:lang w:val="en-US" w:eastAsia="zh-CN"/>
        </w:rPr>
        <w:t>16.三个善于——</w:t>
      </w:r>
      <w:r>
        <w:rPr>
          <w:rFonts w:hint="eastAsia" w:ascii="仿宋_GB2312" w:hAnsi="仿宋_GB2312" w:eastAsia="仿宋_GB2312" w:cs="仿宋_GB2312"/>
          <w:color w:val="auto"/>
          <w:sz w:val="32"/>
          <w:szCs w:val="32"/>
          <w:highlight w:val="none"/>
          <w:lang w:val="en-US" w:eastAsia="zh-CN"/>
        </w:rPr>
        <w:t>2024年3月，最高检提出“三个善于”，即“</w:t>
      </w:r>
      <w:r>
        <w:rPr>
          <w:rFonts w:hint="eastAsia" w:ascii="仿宋_GB2312" w:hAnsi="仿宋_GB2312" w:eastAsia="仿宋_GB2312" w:cs="仿宋_GB2312"/>
          <w:color w:val="auto"/>
          <w:kern w:val="0"/>
          <w:sz w:val="32"/>
          <w:szCs w:val="32"/>
          <w:highlight w:val="none"/>
          <w:lang w:val="en-US" w:eastAsia="zh-CN" w:bidi="ar-SA"/>
        </w:rPr>
        <w:t>善于从纷繁复杂的法律事实中准确把握实质法律关系，善于从具体法律条文中深刻领悟法治精神，善于在法理情的有机统一中实现公平正义</w:t>
      </w:r>
      <w:r>
        <w:rPr>
          <w:rFonts w:hint="eastAsia" w:ascii="仿宋_GB2312" w:hAnsi="仿宋_GB2312" w:eastAsia="仿宋_GB2312" w:cs="仿宋_GB2312"/>
          <w:color w:val="auto"/>
          <w:sz w:val="32"/>
          <w:szCs w:val="32"/>
          <w:highlight w:val="none"/>
          <w:lang w:val="en-US" w:eastAsia="zh-CN"/>
        </w:rPr>
        <w:t>”，为在个案上如何实现“高质效办好每一个案件”提供了方法指引。</w:t>
      </w:r>
    </w:p>
    <w:sectPr>
      <w:headerReference r:id="rId3" w:type="default"/>
      <w:footerReference r:id="rId4"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7BFB881"/>
    <w:rsid w:val="16BDD3FA"/>
    <w:rsid w:val="17F7F3C6"/>
    <w:rsid w:val="1BDD6FAE"/>
    <w:rsid w:val="1EAF3660"/>
    <w:rsid w:val="271F8EBF"/>
    <w:rsid w:val="27EB74AA"/>
    <w:rsid w:val="2D9F86D5"/>
    <w:rsid w:val="2D9FB147"/>
    <w:rsid w:val="2F6F8850"/>
    <w:rsid w:val="2FEF27E0"/>
    <w:rsid w:val="2FFF9355"/>
    <w:rsid w:val="335FEE89"/>
    <w:rsid w:val="35CD610D"/>
    <w:rsid w:val="377F0976"/>
    <w:rsid w:val="37D511F3"/>
    <w:rsid w:val="37F7281D"/>
    <w:rsid w:val="3B1F9AE3"/>
    <w:rsid w:val="3B5B8D19"/>
    <w:rsid w:val="3BE7BEFD"/>
    <w:rsid w:val="3D471A94"/>
    <w:rsid w:val="3D7B95AD"/>
    <w:rsid w:val="3DFC9D6B"/>
    <w:rsid w:val="3E7FD352"/>
    <w:rsid w:val="3F07360E"/>
    <w:rsid w:val="3F39BED9"/>
    <w:rsid w:val="3F74699C"/>
    <w:rsid w:val="3FBF8D75"/>
    <w:rsid w:val="3FEFB2A3"/>
    <w:rsid w:val="3FF09608"/>
    <w:rsid w:val="47F95386"/>
    <w:rsid w:val="47F97231"/>
    <w:rsid w:val="4A1947CF"/>
    <w:rsid w:val="4AFC11D3"/>
    <w:rsid w:val="4B97454F"/>
    <w:rsid w:val="4BAE966D"/>
    <w:rsid w:val="4ED7DA27"/>
    <w:rsid w:val="4F468DF9"/>
    <w:rsid w:val="4F7F5052"/>
    <w:rsid w:val="4FAFDFEA"/>
    <w:rsid w:val="526D3116"/>
    <w:rsid w:val="52F717E8"/>
    <w:rsid w:val="54D186CE"/>
    <w:rsid w:val="54ECCC1D"/>
    <w:rsid w:val="54EFE37B"/>
    <w:rsid w:val="55F9607D"/>
    <w:rsid w:val="56E80838"/>
    <w:rsid w:val="57EEEE71"/>
    <w:rsid w:val="57FB69B2"/>
    <w:rsid w:val="57FD60E9"/>
    <w:rsid w:val="57FEE89F"/>
    <w:rsid w:val="587F67F4"/>
    <w:rsid w:val="59F06F12"/>
    <w:rsid w:val="5ADF795D"/>
    <w:rsid w:val="5B3F8127"/>
    <w:rsid w:val="5B77A818"/>
    <w:rsid w:val="5BFFCE1E"/>
    <w:rsid w:val="5DEFF447"/>
    <w:rsid w:val="5EB345DF"/>
    <w:rsid w:val="5EF7A964"/>
    <w:rsid w:val="5F4DBBEC"/>
    <w:rsid w:val="5F5F5298"/>
    <w:rsid w:val="5F6F9FB2"/>
    <w:rsid w:val="5FBF440C"/>
    <w:rsid w:val="5FD3CE94"/>
    <w:rsid w:val="5FDBC4E3"/>
    <w:rsid w:val="5FF59CBD"/>
    <w:rsid w:val="5FF6CEAA"/>
    <w:rsid w:val="5FFA3818"/>
    <w:rsid w:val="5FFAF57D"/>
    <w:rsid w:val="5FFF2886"/>
    <w:rsid w:val="62DF08DD"/>
    <w:rsid w:val="63553590"/>
    <w:rsid w:val="636F8CC4"/>
    <w:rsid w:val="63AC0585"/>
    <w:rsid w:val="65CEFCE2"/>
    <w:rsid w:val="65FC4D1A"/>
    <w:rsid w:val="67391222"/>
    <w:rsid w:val="677D446F"/>
    <w:rsid w:val="67CDC417"/>
    <w:rsid w:val="67F56C8A"/>
    <w:rsid w:val="686DBBCD"/>
    <w:rsid w:val="69F9F7A7"/>
    <w:rsid w:val="6ADDA073"/>
    <w:rsid w:val="6BFFDBD8"/>
    <w:rsid w:val="6CBF4378"/>
    <w:rsid w:val="6D74456D"/>
    <w:rsid w:val="6DDF2CB3"/>
    <w:rsid w:val="6DF7CE1D"/>
    <w:rsid w:val="6E652321"/>
    <w:rsid w:val="6EAF73E8"/>
    <w:rsid w:val="6EBD86A6"/>
    <w:rsid w:val="6EFF950C"/>
    <w:rsid w:val="6FF6154A"/>
    <w:rsid w:val="6FFA4B6F"/>
    <w:rsid w:val="70BFD3EB"/>
    <w:rsid w:val="70FBF8B5"/>
    <w:rsid w:val="727F276C"/>
    <w:rsid w:val="72A6EEEA"/>
    <w:rsid w:val="738F24A1"/>
    <w:rsid w:val="739F105C"/>
    <w:rsid w:val="73BF1E95"/>
    <w:rsid w:val="73BF81D5"/>
    <w:rsid w:val="73DF7CCC"/>
    <w:rsid w:val="73EF9336"/>
    <w:rsid w:val="75DB5EEF"/>
    <w:rsid w:val="75FB1A66"/>
    <w:rsid w:val="75FD52D7"/>
    <w:rsid w:val="76B71D3A"/>
    <w:rsid w:val="76F91D97"/>
    <w:rsid w:val="76FB0038"/>
    <w:rsid w:val="772FEC29"/>
    <w:rsid w:val="777EED66"/>
    <w:rsid w:val="77ADD967"/>
    <w:rsid w:val="77F67B1C"/>
    <w:rsid w:val="77FEAC60"/>
    <w:rsid w:val="77FF82E3"/>
    <w:rsid w:val="79D71B61"/>
    <w:rsid w:val="7AE2FFC4"/>
    <w:rsid w:val="7AFBF7F6"/>
    <w:rsid w:val="7B5FE070"/>
    <w:rsid w:val="7B932219"/>
    <w:rsid w:val="7B9B7A7B"/>
    <w:rsid w:val="7BB56E17"/>
    <w:rsid w:val="7BBF064B"/>
    <w:rsid w:val="7BD9E5A0"/>
    <w:rsid w:val="7BF856A1"/>
    <w:rsid w:val="7BFACB96"/>
    <w:rsid w:val="7BFAF3C8"/>
    <w:rsid w:val="7BFBDDA2"/>
    <w:rsid w:val="7BFE21A0"/>
    <w:rsid w:val="7BFF0174"/>
    <w:rsid w:val="7D6336D9"/>
    <w:rsid w:val="7D7F6104"/>
    <w:rsid w:val="7DB3572C"/>
    <w:rsid w:val="7DE11DBB"/>
    <w:rsid w:val="7DEF26E6"/>
    <w:rsid w:val="7DEF75E4"/>
    <w:rsid w:val="7DEF77A7"/>
    <w:rsid w:val="7DFD1FCB"/>
    <w:rsid w:val="7E6AFD40"/>
    <w:rsid w:val="7E6FDECF"/>
    <w:rsid w:val="7E77E920"/>
    <w:rsid w:val="7EAF214C"/>
    <w:rsid w:val="7EB1AA84"/>
    <w:rsid w:val="7EB62790"/>
    <w:rsid w:val="7EBF181C"/>
    <w:rsid w:val="7EE8711F"/>
    <w:rsid w:val="7EED3666"/>
    <w:rsid w:val="7EF6A616"/>
    <w:rsid w:val="7F25B41D"/>
    <w:rsid w:val="7F36AEDF"/>
    <w:rsid w:val="7F3E93E5"/>
    <w:rsid w:val="7F59064C"/>
    <w:rsid w:val="7F5DE178"/>
    <w:rsid w:val="7F6F2E29"/>
    <w:rsid w:val="7F77166B"/>
    <w:rsid w:val="7F98F61B"/>
    <w:rsid w:val="7F9B8C22"/>
    <w:rsid w:val="7FB8E936"/>
    <w:rsid w:val="7FB9E714"/>
    <w:rsid w:val="7FBF9A18"/>
    <w:rsid w:val="7FC35BD0"/>
    <w:rsid w:val="7FD3F5CE"/>
    <w:rsid w:val="7FDAD49F"/>
    <w:rsid w:val="7FDB8A87"/>
    <w:rsid w:val="7FDE15F2"/>
    <w:rsid w:val="7FDF477D"/>
    <w:rsid w:val="7FDFDE78"/>
    <w:rsid w:val="7FE5E6E1"/>
    <w:rsid w:val="7FEF42A5"/>
    <w:rsid w:val="7FEF9509"/>
    <w:rsid w:val="7FF76C82"/>
    <w:rsid w:val="7FFAE561"/>
    <w:rsid w:val="7FFBF08C"/>
    <w:rsid w:val="7FFD7CB3"/>
    <w:rsid w:val="7FFD7DE5"/>
    <w:rsid w:val="7FFE619A"/>
    <w:rsid w:val="87EE7474"/>
    <w:rsid w:val="92DDD43A"/>
    <w:rsid w:val="966F0751"/>
    <w:rsid w:val="96FF78B5"/>
    <w:rsid w:val="96FFC328"/>
    <w:rsid w:val="977FD23A"/>
    <w:rsid w:val="9965D69A"/>
    <w:rsid w:val="9BDEC850"/>
    <w:rsid w:val="9D3D1AC9"/>
    <w:rsid w:val="9F6F47A8"/>
    <w:rsid w:val="9FAC9317"/>
    <w:rsid w:val="9FAF818E"/>
    <w:rsid w:val="9FF7ABF5"/>
    <w:rsid w:val="A36E10F3"/>
    <w:rsid w:val="A3BAD713"/>
    <w:rsid w:val="A7BFD4E9"/>
    <w:rsid w:val="A7FC635A"/>
    <w:rsid w:val="AAFE14D7"/>
    <w:rsid w:val="ABBEA6D2"/>
    <w:rsid w:val="ADBF317E"/>
    <w:rsid w:val="ADE72744"/>
    <w:rsid w:val="AF977426"/>
    <w:rsid w:val="AFEFA890"/>
    <w:rsid w:val="B5EED4C5"/>
    <w:rsid w:val="B69EDC24"/>
    <w:rsid w:val="B6DEA211"/>
    <w:rsid w:val="B72D1521"/>
    <w:rsid w:val="B7E94BF5"/>
    <w:rsid w:val="B7EB1FCF"/>
    <w:rsid w:val="B7EFD8C1"/>
    <w:rsid w:val="B7FFF003"/>
    <w:rsid w:val="B8D518C3"/>
    <w:rsid w:val="B8FBA4B2"/>
    <w:rsid w:val="B97FD407"/>
    <w:rsid w:val="B9F62323"/>
    <w:rsid w:val="B9FD9334"/>
    <w:rsid w:val="BAEBC130"/>
    <w:rsid w:val="BBB2D7C2"/>
    <w:rsid w:val="BBD74859"/>
    <w:rsid w:val="BBDFFD14"/>
    <w:rsid w:val="BBFE7A8F"/>
    <w:rsid w:val="BD53A7C3"/>
    <w:rsid w:val="BDB93C66"/>
    <w:rsid w:val="BDDF3B75"/>
    <w:rsid w:val="BDEE3190"/>
    <w:rsid w:val="BDFFFBA3"/>
    <w:rsid w:val="BE3BAB92"/>
    <w:rsid w:val="BEDB0606"/>
    <w:rsid w:val="BEEB62E5"/>
    <w:rsid w:val="BFCAF3E1"/>
    <w:rsid w:val="BFD57B00"/>
    <w:rsid w:val="BFDF4941"/>
    <w:rsid w:val="BFDFC88F"/>
    <w:rsid w:val="BFE38A70"/>
    <w:rsid w:val="BFF7984E"/>
    <w:rsid w:val="BFFD0004"/>
    <w:rsid w:val="BFFF5C8E"/>
    <w:rsid w:val="C75F00AF"/>
    <w:rsid w:val="CAE3606A"/>
    <w:rsid w:val="CBEFCA35"/>
    <w:rsid w:val="CCFF6F10"/>
    <w:rsid w:val="CFA3970B"/>
    <w:rsid w:val="D57E196B"/>
    <w:rsid w:val="D6A71F97"/>
    <w:rsid w:val="D746CE73"/>
    <w:rsid w:val="D771BEA0"/>
    <w:rsid w:val="D7BFCE4C"/>
    <w:rsid w:val="D7EB9197"/>
    <w:rsid w:val="DB55DE2D"/>
    <w:rsid w:val="DD331928"/>
    <w:rsid w:val="DD725B01"/>
    <w:rsid w:val="DDEF9B13"/>
    <w:rsid w:val="DDFD9093"/>
    <w:rsid w:val="DDFFDEA7"/>
    <w:rsid w:val="DF5F651D"/>
    <w:rsid w:val="DF7B66B9"/>
    <w:rsid w:val="DFED2B7B"/>
    <w:rsid w:val="DFFB2166"/>
    <w:rsid w:val="DFFC3BA0"/>
    <w:rsid w:val="DFFC6B5C"/>
    <w:rsid w:val="DFFF637C"/>
    <w:rsid w:val="DFFFB50C"/>
    <w:rsid w:val="E0DF9EDA"/>
    <w:rsid w:val="E35E8063"/>
    <w:rsid w:val="E6BF865A"/>
    <w:rsid w:val="E75DAB62"/>
    <w:rsid w:val="E7E7F3A6"/>
    <w:rsid w:val="E7F3C3C8"/>
    <w:rsid w:val="E7F562BF"/>
    <w:rsid w:val="E9FBCE2E"/>
    <w:rsid w:val="EB3E5F02"/>
    <w:rsid w:val="EB9F0CDD"/>
    <w:rsid w:val="EBDEED18"/>
    <w:rsid w:val="EBEAFB5F"/>
    <w:rsid w:val="EBF6E04F"/>
    <w:rsid w:val="EBFFA111"/>
    <w:rsid w:val="ECEFD944"/>
    <w:rsid w:val="ED3E5873"/>
    <w:rsid w:val="ED5FAA54"/>
    <w:rsid w:val="EDFF19E9"/>
    <w:rsid w:val="EDFF7656"/>
    <w:rsid w:val="EEEF485F"/>
    <w:rsid w:val="EF2FD3E8"/>
    <w:rsid w:val="EFAFEB0D"/>
    <w:rsid w:val="EFBF0996"/>
    <w:rsid w:val="F19B1E1B"/>
    <w:rsid w:val="F2DF6A62"/>
    <w:rsid w:val="F30B7ADE"/>
    <w:rsid w:val="F48F57A5"/>
    <w:rsid w:val="F5F5F3FD"/>
    <w:rsid w:val="F5F96DD9"/>
    <w:rsid w:val="F7198B45"/>
    <w:rsid w:val="F74F5721"/>
    <w:rsid w:val="F787C546"/>
    <w:rsid w:val="F7BF728A"/>
    <w:rsid w:val="F7DFEF89"/>
    <w:rsid w:val="F7EF9578"/>
    <w:rsid w:val="F8751192"/>
    <w:rsid w:val="F97FBA0E"/>
    <w:rsid w:val="F9BF8184"/>
    <w:rsid w:val="F9DD3814"/>
    <w:rsid w:val="F9FB0671"/>
    <w:rsid w:val="F9FF3C7A"/>
    <w:rsid w:val="FAFB442E"/>
    <w:rsid w:val="FB3F0A06"/>
    <w:rsid w:val="FB6753F5"/>
    <w:rsid w:val="FB722816"/>
    <w:rsid w:val="FB857C81"/>
    <w:rsid w:val="FB8E7EAB"/>
    <w:rsid w:val="FBAF86DF"/>
    <w:rsid w:val="FBD1DBEB"/>
    <w:rsid w:val="FBDE1342"/>
    <w:rsid w:val="FBEEC2F4"/>
    <w:rsid w:val="FBF63B13"/>
    <w:rsid w:val="FBFFA8DE"/>
    <w:rsid w:val="FCDE40C2"/>
    <w:rsid w:val="FCED942A"/>
    <w:rsid w:val="FCFB5EC5"/>
    <w:rsid w:val="FCFFF218"/>
    <w:rsid w:val="FD77592A"/>
    <w:rsid w:val="FDE6F458"/>
    <w:rsid w:val="FDE944CF"/>
    <w:rsid w:val="FE9D4562"/>
    <w:rsid w:val="FEAB4D04"/>
    <w:rsid w:val="FEB7CC19"/>
    <w:rsid w:val="FEBDBA77"/>
    <w:rsid w:val="FED69148"/>
    <w:rsid w:val="FEDD0437"/>
    <w:rsid w:val="FEFF7282"/>
    <w:rsid w:val="FEFFD742"/>
    <w:rsid w:val="FF389CF0"/>
    <w:rsid w:val="FF5932A6"/>
    <w:rsid w:val="FF5A66E0"/>
    <w:rsid w:val="FF5B3637"/>
    <w:rsid w:val="FF6DF846"/>
    <w:rsid w:val="FF6FE0C6"/>
    <w:rsid w:val="FF7F71F4"/>
    <w:rsid w:val="FF8744D2"/>
    <w:rsid w:val="FF9EB8A6"/>
    <w:rsid w:val="FFB4A4B9"/>
    <w:rsid w:val="FFB6823D"/>
    <w:rsid w:val="FFCCC4D0"/>
    <w:rsid w:val="FFD5D20C"/>
    <w:rsid w:val="FFDB26E9"/>
    <w:rsid w:val="FFE79733"/>
    <w:rsid w:val="FFEC39A8"/>
    <w:rsid w:val="FFEEBA4C"/>
    <w:rsid w:val="FFEF183B"/>
    <w:rsid w:val="FFFD52EC"/>
    <w:rsid w:val="FFFE12F1"/>
    <w:rsid w:val="FFFE2FEE"/>
    <w:rsid w:val="FFFED586"/>
    <w:rsid w:val="FFFF49DA"/>
    <w:rsid w:val="FFFF5DD3"/>
    <w:rsid w:val="FFFF78A5"/>
    <w:rsid w:val="FFFF8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0" w:leftChars="0" w:firstLine="88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qFormat/>
    <w:uiPriority w:val="0"/>
    <w:pPr>
      <w:spacing w:line="520" w:lineRule="exact"/>
      <w:ind w:left="1285" w:leftChars="612"/>
    </w:pPr>
    <w:rPr>
      <w:rFonts w:ascii="仿宋_GB2312" w:eastAsia="仿宋_GB2312"/>
      <w:snapToGrid/>
      <w:kern w:val="2"/>
      <w:sz w:val="32"/>
    </w:rPr>
  </w:style>
  <w:style w:type="paragraph" w:styleId="4">
    <w:name w:val="Body Text"/>
    <w:basedOn w:val="1"/>
    <w:next w:val="1"/>
    <w:qFormat/>
    <w:uiPriority w:val="0"/>
    <w:pPr>
      <w:jc w:val="center"/>
    </w:pPr>
    <w:rPr>
      <w:rFonts w:ascii="宋体"/>
      <w:b/>
      <w:bCs/>
      <w:snapToGrid/>
      <w:spacing w:val="-40"/>
      <w:kern w:val="2"/>
      <w:sz w:val="48"/>
    </w:rPr>
  </w:style>
  <w:style w:type="paragraph" w:styleId="5">
    <w:name w:val="Normal Indent"/>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annotation text"/>
    <w:basedOn w:val="1"/>
    <w:qFormat/>
    <w:uiPriority w:val="0"/>
    <w:pPr>
      <w:jc w:val="left"/>
    </w:pPr>
  </w:style>
  <w:style w:type="paragraph" w:styleId="7">
    <w:name w:val="endnote text"/>
    <w:basedOn w:val="1"/>
    <w:unhideWhenUsed/>
    <w:qFormat/>
    <w:uiPriority w:val="0"/>
    <w:pPr>
      <w:snapToGrid w:val="0"/>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5.png"/><Relationship Id="rId14" Type="http://schemas.openxmlformats.org/officeDocument/2006/relationships/oleObject" Target="embeddings/oleObject5.bin"/><Relationship Id="rId13" Type="http://schemas.openxmlformats.org/officeDocument/2006/relationships/image" Target="media/image4.png"/><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2018-07-26T07:11:00Z</dcterms:created>
  <dc:creator>d</dc:creator>
  <cp:lastModifiedBy>gjp8646</cp:lastModifiedBy>
  <cp:lastPrinted>2025-01-09T23:15:00Z</cp:lastPrinted>
  <dcterms:modified xsi:type="dcterms:W3CDTF">2025-02-25T14:18:32Z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7A52466AC12E78C757D843675482AFD4</vt:lpwstr>
  </property>
</Properties>
</file>